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480" w:lineRule="exact"/>
        <w:jc w:val="center"/>
        <w:rPr>
          <w:rFonts w:ascii="黑体" w:hAnsi="黑体"/>
          <w:bCs w:val="0"/>
          <w:kern w:val="0"/>
        </w:rPr>
      </w:pPr>
      <w:r>
        <w:rPr>
          <w:rFonts w:hint="eastAsia" w:ascii="黑体" w:hAnsi="黑体"/>
          <w:bCs w:val="0"/>
          <w:kern w:val="0"/>
        </w:rPr>
        <w:t>投标产品技术应答表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  <w:u w:val="single"/>
        </w:rPr>
      </w:pPr>
      <w:r>
        <w:rPr>
          <w:rFonts w:hint="eastAsia" w:ascii="宋体" w:hAnsi="宋体"/>
          <w:b/>
          <w:color w:val="000000"/>
          <w:sz w:val="24"/>
        </w:rPr>
        <w:t>采购项目名称：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              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</w:rPr>
      </w:pPr>
    </w:p>
    <w:tbl>
      <w:tblPr>
        <w:tblStyle w:val="5"/>
        <w:tblW w:w="914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1051"/>
        <w:gridCol w:w="2753"/>
        <w:gridCol w:w="2693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272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产品名称</w:t>
            </w: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条款号</w:t>
            </w:r>
          </w:p>
        </w:tc>
        <w:tc>
          <w:tcPr>
            <w:tcW w:w="275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采购文件要求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投标产品技术应答</w:t>
            </w:r>
          </w:p>
        </w:tc>
        <w:tc>
          <w:tcPr>
            <w:tcW w:w="1378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偏离说明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注：1. 投标人必须把招标项目的全部技术参数列入此表，未列入的参数视为负偏离的风险由投标人自行承担。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2．按照招标项目技术要求的顺序对应填写。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3．供应商必须据实填写，不得虚假填写，否则将取消其投标或中标资格。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投标人名称：（单位公章）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法定代表人或授权代表（签字或加盖个人名章）：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日    期：      年   月   日</w:t>
      </w:r>
    </w:p>
    <w:p>
      <w:pPr>
        <w:pStyle w:val="2"/>
        <w:spacing w:line="480" w:lineRule="exact"/>
      </w:pPr>
    </w:p>
    <w:p>
      <w:bookmarkStart w:id="0" w:name="_GoBack"/>
      <w:bookmarkEnd w:id="0"/>
    </w:p>
    <w:sectPr>
      <w:pgSz w:w="11906" w:h="16838"/>
      <w:pgMar w:top="624" w:right="1369" w:bottom="624" w:left="1077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822DBF"/>
    <w:rsid w:val="2DA83992"/>
    <w:rsid w:val="3DE27C8E"/>
    <w:rsid w:val="50EA4377"/>
    <w:rsid w:val="686D76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2018-08-01T08:27:29Z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