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4539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4"/>
        <w:gridCol w:w="916"/>
        <w:gridCol w:w="466"/>
        <w:gridCol w:w="525"/>
        <w:gridCol w:w="660"/>
        <w:gridCol w:w="4635"/>
        <w:gridCol w:w="2046"/>
        <w:gridCol w:w="4567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8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序号</w:t>
            </w: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器械名称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单位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数量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</w:rPr>
              <w:t>规格、性能描述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</w:rPr>
              <w:t>图示（仅供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2"/>
                <w:szCs w:val="22"/>
              </w:rPr>
              <w:t>参考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</w:rPr>
              <w:t>）</w:t>
            </w:r>
          </w:p>
        </w:tc>
        <w:tc>
          <w:tcPr>
            <w:tcW w:w="4567" w:type="dxa"/>
            <w:shd w:val="clear" w:color="auto" w:fill="auto"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5" w:hRule="exac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</w:rPr>
              <w:t>1</w:t>
            </w: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ascii="宋体" w:hAnsi="宋体" w:eastAsia="宋体" w:cs="宋体"/>
                <w:color w:val="000000" w:themeColor="text1"/>
              </w:rPr>
              <w:t>中药蒸汽浴治疗机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</w:rPr>
              <w:t>2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</w:rPr>
              <w:t>1、技术参数：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</w:rPr>
              <w:t>.1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</w:rPr>
              <w:t>定时时间：1-99min任意可调，连续工作时间≥8h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</w:rPr>
              <w:t>1.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</w:rPr>
              <w:t>2温度显示范围：0℃-150℃，显示精度±1℃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</w:rPr>
              <w:t>1.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</w:rPr>
              <w:t xml:space="preserve">3压力调节范围：20-35KPa 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</w:rPr>
              <w:t>1.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</w:rPr>
              <w:t>4输入功率：≤2000VA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</w:rPr>
              <w:t>1.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</w:rPr>
              <w:t>5熏蒸锅容积：≥9L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</w:rPr>
              <w:t>1.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</w:rPr>
              <w:t>6正常工作加药量V：2L≤V≤5L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</w:rPr>
              <w:t>2、性能描述：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</w:rPr>
              <w:t>2.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</w:rPr>
              <w:t>1两种工作模式可任意设定（即常规模式、强弱模式）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</w:rPr>
              <w:t>2.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</w:rPr>
              <w:t>2采用有压力的中药蒸汽熏蒸，能使细胞组织间隙加快扩大，能加快血液循环，从而能使药物离子更好的渗入皮肤，进入血液，强化临床疗效。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</w:rPr>
              <w:t>2.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</w:rPr>
              <w:t>3采用广视角液晶屏显示仪器的工作参数，并具有实时状态提示功能。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</w:rPr>
              <w:t>2.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</w:rPr>
              <w:t>4具有超温、超压、缺水保护并具有声响提示，多重保护措施，使仪器工作过程更加安全。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</w:rPr>
              <w:t>2.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</w:rPr>
              <w:t>5★熏蒸锅内设置具有过滤功能的蒸汽输出装置，防止药渣进入，堵塞蒸汽管道；蒸汽输出装置可拆卸，方便清洗药垢。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</w:rPr>
              <w:t>2.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</w:rPr>
              <w:t>6★配备冷凝水收集系统，熏蒸过程中产生的冷凝水自动汇集至冷凝水收集器，保证喷出的蒸汽中没有凝聚的水珠，从而避免烫伤患者。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</w:rPr>
              <w:t>2.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</w:rPr>
              <w:t>7喷头配有安全隔离罩，使病人和喷嘴之间保持安全距离，防止烫伤。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</w:rPr>
              <w:t>2.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</w:rPr>
              <w:t>8配置自动、手动两种排废液方式，互不干扰，方便医护人员使用。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</w:rPr>
              <w:t>2.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</w:rPr>
              <w:t>9仪器采用大功率加热盘，能快速的将药液提升到沸点。出蒸汽的时间≤15分钟（初始水温25℃，水量5L），缩短病人的守候时间，大大的提高了设备的工作效率。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</w:rPr>
              <w:t>2.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</w:rPr>
              <w:t>10多角度治疗：三维万向旋转臂杆，360°旋转喷头，针对于某个部位的熏蒸灵活性大，无须患者脱衣治疗，只须露出熏蒸部位熏蒸治疗，方便灵活。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</w:rPr>
              <w:t>2.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</w:rPr>
              <w:t>11★具有浓度检测功能，可直观了解设备运行时的药物浓度。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</w:rPr>
              <w:t>2.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</w:rPr>
              <w:t>12仪器整体体积小，移动方便灵活。适用于住院部病区的床前移动治疗，对于术前治疗和手术后的康复治疗等不便移动的病人提供了便利。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  <w:tc>
          <w:tcPr>
            <w:tcW w:w="4567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8" w:hRule="exac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2</w:t>
            </w: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电动起立床（含足内外翻）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张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</w:rPr>
              <w:t>1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最大推力：6000N；起立角度：0-90°可调；脚踏板内外翻：-30-30°可调；气弹簧调节脚踏板上下：-10-30°可调；床面尺寸：≥200×70×50-80cm；最大承重：300KG；用途：用于截瘫、脑瘫站立功能障碍者,预防体位性低血压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</w:rPr>
              <w:drawing>
                <wp:anchor distT="0" distB="0" distL="114300" distR="114300" simplePos="0" relativeHeight="251620352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28575</wp:posOffset>
                  </wp:positionV>
                  <wp:extent cx="885825" cy="615315"/>
                  <wp:effectExtent l="0" t="0" r="0" b="0"/>
                  <wp:wrapNone/>
                  <wp:docPr id="222" name="图片 17" descr="IMG_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图片 17" descr="IMG_27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600" cy="615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67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3" w:hRule="exac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</w:rPr>
              <w:t>3</w:t>
            </w: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ascii="宋体" w:hAnsi="宋体" w:eastAsia="宋体" w:cs="宋体"/>
                <w:color w:val="000000" w:themeColor="text1"/>
              </w:rPr>
              <w:t>运动治疗床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</w:rPr>
              <w:t>（PT床）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ascii="宋体" w:hAnsi="宋体" w:eastAsia="宋体" w:cs="宋体"/>
                <w:color w:val="000000" w:themeColor="text1"/>
              </w:rPr>
              <w:t>张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</w:rPr>
              <w:t>3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规格：≥1950×1250×450mm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用途：用于PT训练患者床上活动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</w:rPr>
              <w:drawing>
                <wp:anchor distT="0" distB="0" distL="114300" distR="114300" simplePos="0" relativeHeight="251631616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15240</wp:posOffset>
                  </wp:positionV>
                  <wp:extent cx="1033145" cy="752475"/>
                  <wp:effectExtent l="0" t="0" r="0" b="0"/>
                  <wp:wrapNone/>
                  <wp:docPr id="320" name="图片 27" descr="IMG_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图片 27" descr="IMG_28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200" cy="7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67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3" w:hRule="exac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4</w:t>
            </w: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治疗床（木质）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张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8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规格：（L×W×H）≥187×63×64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cm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；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既可以用于按摩，也可以用于诊疗。　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</w:rPr>
              <w:drawing>
                <wp:anchor distT="0" distB="0" distL="114300" distR="114300" simplePos="0" relativeHeight="251642880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43815</wp:posOffset>
                  </wp:positionV>
                  <wp:extent cx="1087120" cy="694690"/>
                  <wp:effectExtent l="0" t="0" r="0" b="0"/>
                  <wp:wrapNone/>
                  <wp:docPr id="321" name="图片 98" descr="IMG_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" name="图片 98" descr="IMG_35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200" cy="69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67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3" w:hRule="exac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5</w:t>
            </w: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PT凳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张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5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用途：方便治疗师坐位转变方向和移位。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85725</wp:posOffset>
                  </wp:positionV>
                  <wp:extent cx="676910" cy="781050"/>
                  <wp:effectExtent l="0" t="0" r="0" b="0"/>
                  <wp:wrapNone/>
                  <wp:docPr id="341" name="图片 30" descr="IMG_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" name="图片 30" descr="IMG_28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00" cy="78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67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3" w:hRule="exac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6</w:t>
            </w: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双人站立架（儿童成人各1台）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2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规格：≥1500×620×980mm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用途：用于截瘫、脑瘫站立功能障碍者。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47625</wp:posOffset>
                  </wp:positionV>
                  <wp:extent cx="1220470" cy="896620"/>
                  <wp:effectExtent l="0" t="0" r="0" b="0"/>
                  <wp:wrapNone/>
                  <wp:docPr id="342" name="图片 15" descr="IMG_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图片 15" descr="IMG_270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400" cy="89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67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8" w:hRule="exac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7</w:t>
            </w: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多体位治疗床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张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1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规格：（L×W×H）≥200×65×65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cm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；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电动，根据不同体位需要调节床面方向、高度、角度，方便各种治疗与推拿。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 w:themeColor="text1"/>
                <w:kern w:val="0"/>
                <w:sz w:val="22"/>
                <w:szCs w:val="22"/>
              </w:rPr>
            </w:pPr>
            <w:r>
              <w:drawing>
                <wp:inline distT="0" distB="0" distL="114300" distR="114300">
                  <wp:extent cx="1408430" cy="655320"/>
                  <wp:effectExtent l="0" t="0" r="1270" b="11430"/>
                  <wp:docPr id="34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8430" cy="655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7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18" w:hRule="exac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8</w:t>
            </w: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斜形垫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套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1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规格：15、30、45°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用途：卧、腰椎牵引辅助用具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-365125</wp:posOffset>
                  </wp:positionV>
                  <wp:extent cx="572135" cy="457200"/>
                  <wp:effectExtent l="0" t="0" r="0" b="0"/>
                  <wp:wrapNone/>
                  <wp:docPr id="344" name="图片 21" descr="IMG_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图片 21" descr="IMG_27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4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67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5" w:hRule="exac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9</w:t>
            </w: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滚筒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套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1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规格：100×830mm、150×8300mm、200×830mm、250×830mm、300×830mm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用途：偏瘫、脑瘫等运动失调患者进行平衡、协调训练。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49530</wp:posOffset>
                  </wp:positionV>
                  <wp:extent cx="723900" cy="485775"/>
                  <wp:effectExtent l="0" t="0" r="0" b="0"/>
                  <wp:wrapNone/>
                  <wp:docPr id="345" name="图片 22" descr="IMG_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" name="图片 22" descr="IMG_27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600" cy="48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67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8" w:hRule="exac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10</w:t>
            </w: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系列沙袋（绑式）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套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1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规格：≥660×340×830(mm)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用途：肌力训练、关节活动度训练、关节屈伸训练。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textAlignment w:val="bottom"/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168910</wp:posOffset>
                  </wp:positionV>
                  <wp:extent cx="799465" cy="752475"/>
                  <wp:effectExtent l="0" t="0" r="0" b="0"/>
                  <wp:wrapNone/>
                  <wp:docPr id="346" name="图片 23" descr="IMG_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图片 23" descr="IMG_27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200" cy="7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67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3" w:hRule="exac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11</w:t>
            </w: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巴氏球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个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2（大、小各一个）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40〃-100cm，≤1800g，脑血管病患者的康复训练，肌肉松弛训练，平衡训练，综合基本动作训练。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60960</wp:posOffset>
                  </wp:positionV>
                  <wp:extent cx="896620" cy="666115"/>
                  <wp:effectExtent l="0" t="0" r="0" b="0"/>
                  <wp:wrapNone/>
                  <wp:docPr id="347" name="图片 25" descr="IMG_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" name="图片 25" descr="IMG_28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400" cy="66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67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33" w:hRule="exac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12</w:t>
            </w: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OT桌（手摇式）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张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</w:rPr>
              <w:t>2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规格：≥1200×810×750-980mm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用途：作业训练用桌，桌面高度可调节。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72390</wp:posOffset>
                  </wp:positionV>
                  <wp:extent cx="752475" cy="666115"/>
                  <wp:effectExtent l="0" t="0" r="0" b="0"/>
                  <wp:wrapNone/>
                  <wp:docPr id="348" name="图片 32" descr="IMG_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图片 32" descr="IMG_28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00" cy="66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67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3" w:hRule="exac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13</w:t>
            </w: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可调式沙磨板及附件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套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1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规格：≥1000×830×900-1340mm，可调角度0-35度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用途：上肢肌力协调活动能力和关节活动度的作业训练。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</w:rPr>
              <w:drawing>
                <wp:inline distT="0" distB="0" distL="114300" distR="114300">
                  <wp:extent cx="819150" cy="1028700"/>
                  <wp:effectExtent l="0" t="0" r="0" b="0"/>
                  <wp:docPr id="349" name="图片 34" descr="IMG_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" name="图片 34" descr="IMG_28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7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8" w:hRule="exac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14</w:t>
            </w: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分指板（成人、儿童各一个）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只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2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规格：≥270×220×45mm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用途：用于偏瘫、脑瘫、四肢瘫、风湿症等手指变形患者进行矫正。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</w:rPr>
              <w:drawing>
                <wp:inline distT="0" distB="0" distL="114300" distR="114300">
                  <wp:extent cx="1085850" cy="800100"/>
                  <wp:effectExtent l="0" t="0" r="0" b="0"/>
                  <wp:docPr id="350" name="图片 35" descr="IMG_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" name="图片 35" descr="IMG_29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7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3" w:hRule="exac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15</w:t>
            </w: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数字套圈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套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1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规格：≥610×590×240(mm)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用途：训练患者手眼协调功能。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</w:rPr>
              <w:drawing>
                <wp:inline distT="0" distB="0" distL="114300" distR="114300">
                  <wp:extent cx="866775" cy="838200"/>
                  <wp:effectExtent l="0" t="0" r="9525" b="0"/>
                  <wp:docPr id="351" name="图片 37" descr="IMG_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图片 37" descr="IMG_29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7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8" w:hRule="exac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16</w:t>
            </w: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铁棍插板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套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1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规格：≥250×155×75mm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用途：手指功能训练，手眼协调功能训练。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</w:rPr>
              <w:drawing>
                <wp:inline distT="0" distB="0" distL="114300" distR="114300">
                  <wp:extent cx="1238250" cy="581025"/>
                  <wp:effectExtent l="0" t="0" r="0" b="9525"/>
                  <wp:docPr id="192" name="图片 39" descr="IMG_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图片 39" descr="IMG_29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7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8" w:hRule="exac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17</w:t>
            </w: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手指功能训练组合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套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 xml:space="preserve">  1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规格：≥400×250×110mm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用途：提高手指的作业活动能力。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</w:rPr>
              <w:drawing>
                <wp:inline distT="0" distB="0" distL="114300" distR="114300">
                  <wp:extent cx="1190625" cy="885825"/>
                  <wp:effectExtent l="0" t="0" r="9525" b="9525"/>
                  <wp:docPr id="193" name="图片 40" descr="IMG_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图片 40" descr="IMG_29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7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3" w:hRule="exac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18</w:t>
            </w: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堆杯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套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1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规格：≥300×150×130mm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用途：手指对指功能感知认知训练。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</w:rPr>
              <w:drawing>
                <wp:inline distT="0" distB="0" distL="114300" distR="114300">
                  <wp:extent cx="1495425" cy="971550"/>
                  <wp:effectExtent l="0" t="0" r="9525" b="0"/>
                  <wp:docPr id="194" name="图片 43" descr="IMG_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图片 43" descr="IMG_298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7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13" w:hRule="exac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</w:rPr>
              <w:t>19</w:t>
            </w: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</w:rPr>
              <w:t>高级水果世界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</w:rPr>
              <w:t>套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</w:rPr>
              <w:t>1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构建进食环境，可用于言语认知训练、感知训练等。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</w:rPr>
              <w:drawing>
                <wp:inline distT="0" distB="0" distL="114300" distR="114300">
                  <wp:extent cx="1419225" cy="723900"/>
                  <wp:effectExtent l="0" t="0" r="9525" b="0"/>
                  <wp:docPr id="195" name="图片 57" descr="IMG_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图片 57" descr="IMG_31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7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8" w:hRule="exac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20</w:t>
            </w: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多功能关节活动测量表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只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1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规格：≥18×8×9cm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用途：检测评定各关节活动度。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26670</wp:posOffset>
                  </wp:positionV>
                  <wp:extent cx="774065" cy="608330"/>
                  <wp:effectExtent l="0" t="0" r="0" b="0"/>
                  <wp:wrapNone/>
                  <wp:docPr id="196" name="图片 102" descr="IMG_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图片 102" descr="IMG_35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000" cy="60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67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8" w:hRule="exac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21</w:t>
            </w: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握力计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个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</w:rPr>
              <w:t>1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质量：19×16×5,18×14×2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用途：测试手指抓握力量。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</w:rPr>
              <w:drawing>
                <wp:anchor distT="0" distB="0" distL="114300" distR="114300" simplePos="0" relativeHeight="251742208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36195</wp:posOffset>
                  </wp:positionV>
                  <wp:extent cx="543560" cy="666115"/>
                  <wp:effectExtent l="0" t="0" r="0" b="0"/>
                  <wp:wrapNone/>
                  <wp:docPr id="197" name="图片 105" descr="IMG_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图片 105" descr="IMG_360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600" cy="66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67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6"/>
          <w:wAfter w:w="12899" w:type="dxa"/>
          <w:trHeight w:val="1211" w:hRule="atLeast"/>
        </w:trPr>
        <w:tc>
          <w:tcPr>
            <w:tcW w:w="724" w:type="dxa"/>
            <w:vAlign w:val="center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6"/>
          <w:wAfter w:w="12899" w:type="dxa"/>
          <w:trHeight w:val="1211" w:hRule="atLeast"/>
        </w:trPr>
        <w:tc>
          <w:tcPr>
            <w:tcW w:w="724" w:type="dxa"/>
            <w:vAlign w:val="center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6"/>
          <w:wAfter w:w="12899" w:type="dxa"/>
          <w:trHeight w:val="1211" w:hRule="atLeast"/>
        </w:trPr>
        <w:tc>
          <w:tcPr>
            <w:tcW w:w="724" w:type="dxa"/>
            <w:vAlign w:val="center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6"/>
          <w:wAfter w:w="12899" w:type="dxa"/>
          <w:trHeight w:val="1211" w:hRule="atLeast"/>
        </w:trPr>
        <w:tc>
          <w:tcPr>
            <w:tcW w:w="724" w:type="dxa"/>
            <w:vAlign w:val="center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6"/>
          <w:wAfter w:w="12899" w:type="dxa"/>
          <w:trHeight w:val="1211" w:hRule="atLeast"/>
        </w:trPr>
        <w:tc>
          <w:tcPr>
            <w:tcW w:w="724" w:type="dxa"/>
            <w:vAlign w:val="center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6"/>
          <w:wAfter w:w="12899" w:type="dxa"/>
          <w:trHeight w:val="1211" w:hRule="atLeast"/>
        </w:trPr>
        <w:tc>
          <w:tcPr>
            <w:tcW w:w="724" w:type="dxa"/>
            <w:vAlign w:val="center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6"/>
          <w:wAfter w:w="12899" w:type="dxa"/>
          <w:trHeight w:val="1211" w:hRule="atLeast"/>
        </w:trPr>
        <w:tc>
          <w:tcPr>
            <w:tcW w:w="724" w:type="dxa"/>
            <w:vAlign w:val="center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6"/>
          <w:wAfter w:w="12899" w:type="dxa"/>
          <w:trHeight w:val="1211" w:hRule="atLeast"/>
        </w:trPr>
        <w:tc>
          <w:tcPr>
            <w:tcW w:w="724" w:type="dxa"/>
            <w:vAlign w:val="center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6"/>
          <w:wAfter w:w="12899" w:type="dxa"/>
          <w:trHeight w:val="1211" w:hRule="atLeast"/>
        </w:trPr>
        <w:tc>
          <w:tcPr>
            <w:tcW w:w="724" w:type="dxa"/>
            <w:vAlign w:val="center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6"/>
          <w:wAfter w:w="12899" w:type="dxa"/>
          <w:trHeight w:val="1211" w:hRule="atLeast"/>
        </w:trPr>
        <w:tc>
          <w:tcPr>
            <w:tcW w:w="724" w:type="dxa"/>
            <w:vAlign w:val="center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6"/>
          <w:wAfter w:w="12899" w:type="dxa"/>
          <w:trHeight w:val="1211" w:hRule="atLeast"/>
        </w:trPr>
        <w:tc>
          <w:tcPr>
            <w:tcW w:w="724" w:type="dxa"/>
            <w:vAlign w:val="center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6"/>
          <w:wAfter w:w="12899" w:type="dxa"/>
          <w:trHeight w:val="1211" w:hRule="atLeast"/>
        </w:trPr>
        <w:tc>
          <w:tcPr>
            <w:tcW w:w="724" w:type="dxa"/>
            <w:vAlign w:val="center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6"/>
          <w:wAfter w:w="12899" w:type="dxa"/>
          <w:trHeight w:val="1211" w:hRule="atLeast"/>
        </w:trPr>
        <w:tc>
          <w:tcPr>
            <w:tcW w:w="724" w:type="dxa"/>
            <w:vAlign w:val="center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6"/>
          <w:wAfter w:w="12899" w:type="dxa"/>
          <w:trHeight w:val="1211" w:hRule="atLeast"/>
        </w:trPr>
        <w:tc>
          <w:tcPr>
            <w:tcW w:w="724" w:type="dxa"/>
            <w:vAlign w:val="center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6"/>
          <w:wAfter w:w="12899" w:type="dxa"/>
          <w:trHeight w:val="1211" w:hRule="atLeast"/>
        </w:trPr>
        <w:tc>
          <w:tcPr>
            <w:tcW w:w="724" w:type="dxa"/>
            <w:vAlign w:val="center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6"/>
          <w:wAfter w:w="12899" w:type="dxa"/>
          <w:trHeight w:val="1211" w:hRule="atLeast"/>
        </w:trPr>
        <w:tc>
          <w:tcPr>
            <w:tcW w:w="724" w:type="dxa"/>
            <w:vAlign w:val="center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6"/>
          <w:wAfter w:w="12899" w:type="dxa"/>
          <w:trHeight w:val="1211" w:hRule="atLeast"/>
        </w:trPr>
        <w:tc>
          <w:tcPr>
            <w:tcW w:w="724" w:type="dxa"/>
            <w:vAlign w:val="center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6"/>
          <w:wAfter w:w="12899" w:type="dxa"/>
          <w:trHeight w:val="1211" w:hRule="atLeast"/>
        </w:trPr>
        <w:tc>
          <w:tcPr>
            <w:tcW w:w="724" w:type="dxa"/>
            <w:vAlign w:val="center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6"/>
          <w:wAfter w:w="12899" w:type="dxa"/>
          <w:trHeight w:val="1211" w:hRule="atLeast"/>
        </w:trPr>
        <w:tc>
          <w:tcPr>
            <w:tcW w:w="724" w:type="dxa"/>
            <w:vAlign w:val="center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6"/>
          <w:wAfter w:w="12899" w:type="dxa"/>
          <w:trHeight w:val="1211" w:hRule="atLeast"/>
        </w:trPr>
        <w:tc>
          <w:tcPr>
            <w:tcW w:w="724" w:type="dxa"/>
            <w:vAlign w:val="center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6"/>
          <w:wAfter w:w="12899" w:type="dxa"/>
          <w:trHeight w:val="1211" w:hRule="atLeast"/>
        </w:trPr>
        <w:tc>
          <w:tcPr>
            <w:tcW w:w="724" w:type="dxa"/>
            <w:vAlign w:val="center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6"/>
          <w:wAfter w:w="12899" w:type="dxa"/>
          <w:trHeight w:val="1211" w:hRule="atLeast"/>
        </w:trPr>
        <w:tc>
          <w:tcPr>
            <w:tcW w:w="724" w:type="dxa"/>
            <w:vAlign w:val="center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6"/>
          <w:wAfter w:w="12899" w:type="dxa"/>
          <w:trHeight w:val="1211" w:hRule="atLeast"/>
        </w:trPr>
        <w:tc>
          <w:tcPr>
            <w:tcW w:w="724" w:type="dxa"/>
            <w:vAlign w:val="center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6"/>
          <w:wAfter w:w="12899" w:type="dxa"/>
          <w:trHeight w:val="1211" w:hRule="atLeast"/>
        </w:trPr>
        <w:tc>
          <w:tcPr>
            <w:tcW w:w="724" w:type="dxa"/>
            <w:vAlign w:val="center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 w:themeColor="text1"/>
                <w:sz w:val="22"/>
                <w:szCs w:val="22"/>
              </w:rPr>
            </w:pPr>
          </w:p>
        </w:tc>
      </w:tr>
    </w:tbl>
    <w:p/>
    <w:sectPr>
      <w:pgSz w:w="11906" w:h="16838"/>
      <w:pgMar w:top="680" w:right="720" w:bottom="680" w:left="72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7F123779"/>
    <w:rsid w:val="000441BA"/>
    <w:rsid w:val="00131905"/>
    <w:rsid w:val="00182A58"/>
    <w:rsid w:val="001913F1"/>
    <w:rsid w:val="00216BFB"/>
    <w:rsid w:val="00235CF9"/>
    <w:rsid w:val="00313CEE"/>
    <w:rsid w:val="00325CD9"/>
    <w:rsid w:val="003622B7"/>
    <w:rsid w:val="003B1BF4"/>
    <w:rsid w:val="00541F28"/>
    <w:rsid w:val="00552360"/>
    <w:rsid w:val="005A3DA7"/>
    <w:rsid w:val="005D2291"/>
    <w:rsid w:val="0063340A"/>
    <w:rsid w:val="006A6DCC"/>
    <w:rsid w:val="00732789"/>
    <w:rsid w:val="0077257E"/>
    <w:rsid w:val="007E3282"/>
    <w:rsid w:val="007E5648"/>
    <w:rsid w:val="0080610F"/>
    <w:rsid w:val="00815C3F"/>
    <w:rsid w:val="00962315"/>
    <w:rsid w:val="00A44D78"/>
    <w:rsid w:val="00A47AC5"/>
    <w:rsid w:val="00AB4A51"/>
    <w:rsid w:val="00AE7ACB"/>
    <w:rsid w:val="00B95D94"/>
    <w:rsid w:val="00BB74D8"/>
    <w:rsid w:val="00BD430A"/>
    <w:rsid w:val="00C75193"/>
    <w:rsid w:val="00DC6E48"/>
    <w:rsid w:val="00DD0C24"/>
    <w:rsid w:val="00EA23EB"/>
    <w:rsid w:val="00F0649D"/>
    <w:rsid w:val="01CE5DF8"/>
    <w:rsid w:val="065A7F1E"/>
    <w:rsid w:val="0675617C"/>
    <w:rsid w:val="18270949"/>
    <w:rsid w:val="1BC33702"/>
    <w:rsid w:val="1FA60EAA"/>
    <w:rsid w:val="201454F4"/>
    <w:rsid w:val="33FF50C9"/>
    <w:rsid w:val="37036138"/>
    <w:rsid w:val="3F147F1F"/>
    <w:rsid w:val="47FA3AF6"/>
    <w:rsid w:val="69DE53D8"/>
    <w:rsid w:val="7909231A"/>
    <w:rsid w:val="79C7313C"/>
    <w:rsid w:val="7F12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iPriority w:val="0"/>
    <w:rPr>
      <w:sz w:val="18"/>
      <w:szCs w:val="18"/>
    </w:rPr>
  </w:style>
  <w:style w:type="paragraph" w:styleId="3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font41"/>
    <w:basedOn w:val="5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8">
    <w:name w:val="font81"/>
    <w:basedOn w:val="5"/>
    <w:qFormat/>
    <w:uiPriority w:val="0"/>
    <w:rPr>
      <w:rFonts w:hint="eastAsia" w:ascii="宋体" w:hAnsi="宋体" w:eastAsia="宋体" w:cs="宋体"/>
      <w:b/>
      <w:color w:val="FF0000"/>
      <w:sz w:val="24"/>
      <w:szCs w:val="24"/>
      <w:u w:val="none"/>
    </w:rPr>
  </w:style>
  <w:style w:type="character" w:customStyle="1" w:styleId="9">
    <w:name w:val="font2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151"/>
    <w:basedOn w:val="5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11">
    <w:name w:val="批注框文本 Char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眉 Char"/>
    <w:basedOn w:val="5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308</Words>
  <Characters>1759</Characters>
  <Lines>14</Lines>
  <Paragraphs>4</Paragraphs>
  <TotalTime>219</TotalTime>
  <ScaleCrop>false</ScaleCrop>
  <LinksUpToDate>false</LinksUpToDate>
  <CharactersWithSpaces>2063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2018-03-23T01:28:00Z</dcterms:created>
  <dc:creator>Administrator</dc:creator>
  <cp:lastModifiedBy>蔻蔻</cp:lastModifiedBy>
  <dcterms:modified xsi:type="dcterms:W3CDTF">2018-12-18T03:07:40Z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