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60" w:lineRule="exact"/>
        <w:jc w:val="center"/>
        <w:textAlignment w:val="center"/>
        <w:outlineLvl w:val="0"/>
        <w:rPr>
          <w:rFonts w:ascii="方正小标宋简体" w:hAnsi="宋体" w:eastAsia="方正小标宋简体" w:cs="Times New Roman"/>
          <w:kern w:val="0"/>
          <w:sz w:val="44"/>
          <w:szCs w:val="44"/>
        </w:rPr>
      </w:pPr>
      <w:r>
        <w:rPr>
          <w:rFonts w:hint="eastAsia" w:ascii="方正小标宋简体" w:hAnsi="宋体" w:eastAsia="方正小标宋简体" w:cs="方正小标宋简体"/>
          <w:kern w:val="0"/>
          <w:sz w:val="44"/>
          <w:szCs w:val="44"/>
        </w:rPr>
        <w:t>内江市第一人民医院</w:t>
      </w:r>
    </w:p>
    <w:p>
      <w:pPr>
        <w:keepNext w:val="0"/>
        <w:keepLines w:val="0"/>
        <w:pageBreakBefore w:val="0"/>
        <w:widowControl/>
        <w:kinsoku/>
        <w:wordWrap/>
        <w:overflowPunct/>
        <w:topLinePunct w:val="0"/>
        <w:autoSpaceDE/>
        <w:autoSpaceDN/>
        <w:bidi w:val="0"/>
        <w:adjustRightInd/>
        <w:snapToGrid/>
        <w:spacing w:line="660" w:lineRule="exact"/>
        <w:jc w:val="center"/>
        <w:textAlignment w:val="center"/>
        <w:outlineLvl w:val="0"/>
        <w:rPr>
          <w:rFonts w:ascii="方正小标宋简体" w:hAnsi="宋体" w:eastAsia="方正小标宋简体" w:cs="Times New Roman"/>
          <w:kern w:val="0"/>
          <w:sz w:val="44"/>
          <w:szCs w:val="44"/>
        </w:rPr>
      </w:pPr>
      <w:r>
        <w:rPr>
          <w:rFonts w:hint="eastAsia" w:ascii="方正小标宋简体" w:hAnsi="宋体" w:eastAsia="方正小标宋简体" w:cs="方正小标宋简体"/>
          <w:kern w:val="0"/>
          <w:sz w:val="44"/>
          <w:szCs w:val="44"/>
        </w:rPr>
        <w:t>关于</w:t>
      </w:r>
      <w:r>
        <w:rPr>
          <w:rFonts w:hint="eastAsia" w:ascii="方正小标宋简体" w:hAnsi="宋体" w:eastAsia="方正小标宋简体" w:cs="方正小标宋简体"/>
          <w:sz w:val="44"/>
          <w:szCs w:val="44"/>
        </w:rPr>
        <w:t>一批医疗器械的的</w:t>
      </w:r>
      <w:r>
        <w:rPr>
          <w:rFonts w:hint="eastAsia" w:ascii="方正小标宋简体" w:hAnsi="宋体" w:eastAsia="方正小标宋简体" w:cs="方正小标宋简体"/>
          <w:kern w:val="0"/>
          <w:sz w:val="44"/>
          <w:szCs w:val="44"/>
        </w:rPr>
        <w:t>招标公告</w:t>
      </w:r>
    </w:p>
    <w:p>
      <w:pPr>
        <w:spacing w:line="460" w:lineRule="exact"/>
        <w:ind w:firstLine="640"/>
        <w:jc w:val="left"/>
        <w:rPr>
          <w:rFonts w:ascii="仿宋_GB2312" w:hAnsi="宋体" w:eastAsia="仿宋_GB2312" w:cs="Times New Roman"/>
          <w:color w:val="000000"/>
          <w:kern w:val="0"/>
          <w:lang w:val="zh-CN"/>
        </w:rPr>
      </w:pPr>
    </w:p>
    <w:p>
      <w:pPr>
        <w:keepNext w:val="0"/>
        <w:keepLines w:val="0"/>
        <w:pageBreakBefore w:val="0"/>
        <w:kinsoku/>
        <w:wordWrap/>
        <w:overflowPunct/>
        <w:topLinePunct w:val="0"/>
        <w:bidi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根据《中华人民共和国招标投标法》和《</w:t>
      </w:r>
      <w:r>
        <w:rPr>
          <w:rFonts w:hint="eastAsia" w:ascii="仿宋_GB2312" w:hAnsi="仿宋_GB2312" w:eastAsia="仿宋_GB2312" w:cs="仿宋_GB2312"/>
          <w:color w:val="000000"/>
          <w:kern w:val="0"/>
          <w:sz w:val="32"/>
          <w:szCs w:val="32"/>
        </w:rPr>
        <w:t>内江市第一人民医院</w:t>
      </w:r>
      <w:r>
        <w:rPr>
          <w:rFonts w:hint="eastAsia" w:ascii="仿宋_GB2312" w:hAnsi="仿宋_GB2312" w:eastAsia="仿宋_GB2312" w:cs="仿宋_GB2312"/>
          <w:color w:val="000000"/>
          <w:kern w:val="0"/>
          <w:sz w:val="32"/>
          <w:szCs w:val="32"/>
          <w:lang w:val="zh-CN"/>
        </w:rPr>
        <w:t>招标管理办法》，我院决定对</w:t>
      </w:r>
      <w:r>
        <w:rPr>
          <w:rFonts w:hint="eastAsia" w:ascii="仿宋_GB2312" w:hAnsi="仿宋_GB2312" w:eastAsia="仿宋_GB2312" w:cs="仿宋_GB2312"/>
          <w:color w:val="000000"/>
          <w:sz w:val="32"/>
          <w:szCs w:val="32"/>
        </w:rPr>
        <w:t>以下医疗器械</w:t>
      </w:r>
      <w:r>
        <w:rPr>
          <w:rFonts w:hint="eastAsia" w:ascii="仿宋_GB2312" w:hAnsi="仿宋_GB2312" w:eastAsia="仿宋_GB2312" w:cs="仿宋_GB2312"/>
          <w:color w:val="000000"/>
          <w:kern w:val="0"/>
          <w:sz w:val="32"/>
          <w:szCs w:val="32"/>
          <w:lang w:val="zh-CN"/>
        </w:rPr>
        <w:t>进行招标采购。</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一、招标概况</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招标单位：内江市第一人民医院</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zh-CN"/>
        </w:rPr>
        <w:t>招标项目名称：</w:t>
      </w:r>
      <w:r>
        <w:rPr>
          <w:rFonts w:hint="eastAsia" w:ascii="仿宋_GB2312" w:hAnsi="仿宋_GB2312" w:eastAsia="仿宋_GB2312" w:cs="仿宋_GB2312"/>
          <w:color w:val="000000"/>
          <w:sz w:val="32"/>
          <w:szCs w:val="32"/>
        </w:rPr>
        <w:t>医疗器械一批</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color w:val="000000"/>
          <w:kern w:val="0"/>
          <w:sz w:val="32"/>
          <w:szCs w:val="32"/>
          <w:lang w:val="zh-CN"/>
        </w:rPr>
        <w:t xml:space="preserve">招标项目内容和要求： </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（一）手持式免散瞳眼底照相机</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1、数量：</w:t>
      </w:r>
      <w:r>
        <w:rPr>
          <w:rFonts w:hint="eastAsia" w:ascii="仿宋_GB2312" w:hAnsi="仿宋_GB2312" w:eastAsia="仿宋_GB2312" w:cs="仿宋_GB2312"/>
          <w:kern w:val="0"/>
          <w:sz w:val="32"/>
          <w:szCs w:val="32"/>
        </w:rPr>
        <w:t>1台</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2、技术参数</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2.1类型：具备台式和手持式两用</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2.2内置固视点≥9个</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2.3 CMOS图像传感器≥1000万像素</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2.4对焦模式：包含自动对焦、手动对焦、AF辅助对焦等几种模式。</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2.5拍摄功能：包含红外拍摄和白色拍摄等几种功能。</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2.6最小瞳孔直径：≤3mm</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2.7配置：主机、眼底镜头、眼表镜头。</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2.8符合ISO10940标准</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3、最高限价：250000元/台</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（二）器械清洗槽</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1、数量：</w:t>
      </w:r>
      <w:r>
        <w:rPr>
          <w:rFonts w:hint="eastAsia" w:ascii="仿宋_GB2312" w:hAnsi="仿宋_GB2312" w:eastAsia="仿宋_GB2312" w:cs="仿宋_GB2312"/>
          <w:kern w:val="0"/>
          <w:sz w:val="32"/>
          <w:szCs w:val="32"/>
        </w:rPr>
        <w:t>1套</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2、技术参数配置</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2.1</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rPr>
        <w:t>清洗方槽4个：</w:t>
      </w:r>
      <w:r>
        <w:rPr>
          <w:rFonts w:hint="eastAsia" w:ascii="仿宋_GB2312" w:hAnsi="仿宋_GB2312" w:eastAsia="仿宋_GB2312" w:cs="仿宋_GB2312"/>
          <w:sz w:val="32"/>
          <w:szCs w:val="32"/>
        </w:rPr>
        <w:t>亚格力材质，尺寸550*690*210mm。</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2.2功能背板1套：亚格力材质，背板高度</w:t>
      </w:r>
      <w:r>
        <w:rPr>
          <w:rFonts w:hint="eastAsia" w:ascii="仿宋_GB2312" w:hAnsi="仿宋_GB2312" w:eastAsia="仿宋_GB2312" w:cs="仿宋_GB2312"/>
          <w:kern w:val="0"/>
          <w:sz w:val="32"/>
          <w:szCs w:val="32"/>
        </w:rPr>
        <w:t>≥300mm；离地高度≥1100mm。</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2.3干燥台1套：</w:t>
      </w:r>
      <w:r>
        <w:rPr>
          <w:rFonts w:hint="eastAsia" w:ascii="仿宋_GB2312" w:hAnsi="仿宋_GB2312" w:eastAsia="仿宋_GB2312" w:cs="仿宋_GB2312"/>
          <w:sz w:val="32"/>
          <w:szCs w:val="32"/>
        </w:rPr>
        <w:t>亚格力材质，长度</w:t>
      </w:r>
      <w:r>
        <w:rPr>
          <w:rFonts w:hint="eastAsia" w:ascii="仿宋_GB2312" w:hAnsi="仿宋_GB2312" w:eastAsia="仿宋_GB2312" w:cs="仿宋_GB2312"/>
          <w:kern w:val="0"/>
          <w:sz w:val="32"/>
          <w:szCs w:val="32"/>
        </w:rPr>
        <w:t>≥550mm。</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2.4柜体1套：不锈钢方管材质</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2.5水龙头2个：铜制</w:t>
      </w:r>
      <w:r>
        <w:rPr>
          <w:rFonts w:hint="eastAsia" w:ascii="仿宋_GB2312" w:hAnsi="仿宋_GB2312" w:eastAsia="仿宋_GB2312" w:cs="仿宋_GB2312"/>
          <w:sz w:val="32"/>
          <w:szCs w:val="32"/>
        </w:rPr>
        <w:t>镀铬旋转式</w:t>
      </w:r>
    </w:p>
    <w:p>
      <w:pPr>
        <w:pStyle w:val="2"/>
        <w:keepNext w:val="0"/>
        <w:keepLines w:val="0"/>
        <w:pageBreakBefore w:val="0"/>
        <w:kinsoku/>
        <w:wordWrap/>
        <w:overflowPunct/>
        <w:topLinePunct w:val="0"/>
        <w:bidi w:val="0"/>
        <w:snapToGrid/>
        <w:spacing w:after="0" w:line="560" w:lineRule="exact"/>
        <w:ind w:left="0" w:leftChars="0" w:righ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2.6供排水系统4套：包含PPR和PVC等几种材质</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3、最高限价：30000元/套</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（三）一次性使用塑料血袋</w:t>
      </w:r>
    </w:p>
    <w:p>
      <w:pPr>
        <w:pStyle w:val="2"/>
        <w:keepNext w:val="0"/>
        <w:keepLines w:val="0"/>
        <w:pageBreakBefore w:val="0"/>
        <w:kinsoku/>
        <w:wordWrap/>
        <w:overflowPunct/>
        <w:topLinePunct w:val="0"/>
        <w:bidi w:val="0"/>
        <w:snapToGrid/>
        <w:spacing w:after="0" w:line="560" w:lineRule="exact"/>
        <w:ind w:left="0" w:leftChars="0"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1、用途：</w:t>
      </w:r>
      <w:r>
        <w:rPr>
          <w:rFonts w:hint="eastAsia" w:ascii="仿宋_GB2312" w:hAnsi="仿宋_GB2312" w:eastAsia="仿宋_GB2312" w:cs="仿宋_GB2312"/>
          <w:sz w:val="32"/>
          <w:szCs w:val="32"/>
        </w:rPr>
        <w:t>用于全血及血液成分的采集、贮存、处理、转移、分离和输注。</w:t>
      </w:r>
    </w:p>
    <w:p>
      <w:pPr>
        <w:keepNext w:val="0"/>
        <w:keepLines w:val="0"/>
        <w:pageBreakBefore w:val="0"/>
        <w:widowControl/>
        <w:kinsoku/>
        <w:wordWrap/>
        <w:overflowPunct/>
        <w:topLinePunct w:val="0"/>
        <w:bidi w:val="0"/>
        <w:snapToGrid/>
        <w:spacing w:line="560" w:lineRule="exact"/>
        <w:ind w:left="0" w:leftChars="0" w:righ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2、产品组成：</w:t>
      </w:r>
      <w:r>
        <w:rPr>
          <w:rFonts w:hint="eastAsia" w:ascii="仿宋_GB2312" w:hAnsi="仿宋_GB2312" w:eastAsia="仿宋_GB2312" w:cs="仿宋_GB2312"/>
          <w:sz w:val="32"/>
          <w:szCs w:val="32"/>
        </w:rPr>
        <w:t>由采血针、软管（采血管、转移管、灌装管）、堵塞装置、输血插口、三通、夹具（锁合轧口或夹片）、献血前采样装置（取样器和/或采样袋）、防针刺保护装置、袋体（采血袋、转移袋、保存液袋、顶底袋）部件或它们的部分部件组合为单袋或多连袋。</w:t>
      </w:r>
    </w:p>
    <w:p>
      <w:pPr>
        <w:pStyle w:val="2"/>
        <w:keepNext w:val="0"/>
        <w:keepLines w:val="0"/>
        <w:pageBreakBefore w:val="0"/>
        <w:kinsoku/>
        <w:wordWrap/>
        <w:overflowPunct/>
        <w:topLinePunct w:val="0"/>
        <w:bidi w:val="0"/>
        <w:snapToGrid/>
        <w:spacing w:after="0" w:line="560" w:lineRule="exact"/>
        <w:ind w:left="0" w:leftChars="0" w:right="0"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sz w:val="32"/>
          <w:szCs w:val="32"/>
        </w:rPr>
        <w:t>3、产品规格：</w:t>
      </w:r>
      <w:r>
        <w:rPr>
          <w:rFonts w:hint="eastAsia" w:ascii="仿宋_GB2312" w:hAnsi="仿宋_GB2312" w:eastAsia="仿宋_GB2312" w:cs="仿宋_GB2312"/>
          <w:kern w:val="0"/>
          <w:sz w:val="32"/>
          <w:szCs w:val="32"/>
        </w:rPr>
        <w:t>≥200mm；≥400mm</w:t>
      </w:r>
    </w:p>
    <w:p>
      <w:pPr>
        <w:pStyle w:val="2"/>
        <w:keepNext w:val="0"/>
        <w:keepLines w:val="0"/>
        <w:pageBreakBefore w:val="0"/>
        <w:kinsoku/>
        <w:wordWrap/>
        <w:overflowPunct/>
        <w:topLinePunct w:val="0"/>
        <w:bidi w:val="0"/>
        <w:snapToGrid/>
        <w:spacing w:after="0" w:line="560"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4、</w:t>
      </w:r>
      <w:r>
        <w:rPr>
          <w:rFonts w:hint="eastAsia" w:ascii="仿宋_GB2312" w:hAnsi="仿宋_GB2312" w:eastAsia="仿宋_GB2312" w:cs="仿宋_GB2312"/>
          <w:b/>
          <w:bCs/>
          <w:sz w:val="32"/>
          <w:szCs w:val="32"/>
        </w:rPr>
        <w:t>外观：</w:t>
      </w:r>
      <w:r>
        <w:rPr>
          <w:rFonts w:hint="eastAsia" w:ascii="仿宋_GB2312" w:hAnsi="仿宋_GB2312" w:eastAsia="仿宋_GB2312" w:cs="仿宋_GB2312"/>
          <w:sz w:val="32"/>
          <w:szCs w:val="32"/>
        </w:rPr>
        <w:t>引流管表面光洁、无扭结和扁瘪；袋体有标尺刻度线，刻度值应清晰、完整、易于识别。</w:t>
      </w:r>
    </w:p>
    <w:p>
      <w:pPr>
        <w:pStyle w:val="2"/>
        <w:keepNext w:val="0"/>
        <w:keepLines w:val="0"/>
        <w:pageBreakBefore w:val="0"/>
        <w:kinsoku/>
        <w:wordWrap/>
        <w:overflowPunct/>
        <w:topLinePunct w:val="0"/>
        <w:bidi w:val="0"/>
        <w:snapToGrid/>
        <w:spacing w:after="0" w:line="560" w:lineRule="exact"/>
        <w:ind w:left="0" w:leftChars="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5、要求</w:t>
      </w:r>
      <w:r>
        <w:rPr>
          <w:rFonts w:hint="eastAsia" w:ascii="仿宋_GB2312" w:hAnsi="仿宋_GB2312" w:eastAsia="仿宋_GB2312" w:cs="仿宋_GB2312"/>
          <w:sz w:val="32"/>
          <w:szCs w:val="32"/>
        </w:rPr>
        <w:t>：有国家三类医疗器械注册证，有药品批准文号。</w:t>
      </w:r>
    </w:p>
    <w:p>
      <w:pPr>
        <w:pStyle w:val="2"/>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jc w:val="left"/>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6、最高限价：200mm(26元/个)，400mm（30元/个）</w:t>
      </w:r>
    </w:p>
    <w:p>
      <w:pPr>
        <w:keepNext w:val="0"/>
        <w:keepLines w:val="0"/>
        <w:pageBreakBefore w:val="0"/>
        <w:kinsoku/>
        <w:wordWrap/>
        <w:overflowPunct/>
        <w:topLinePunct w:val="0"/>
        <w:bidi w:val="0"/>
        <w:snapToGrid/>
        <w:spacing w:line="560" w:lineRule="exact"/>
        <w:ind w:left="0" w:leftChars="0" w:right="0"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二、参加本次招投标的企业应具备下列条件</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1、投标人须具有独立法人资格，独立承担民事责任的能力，并且具有有效的营业执照，组织机构代码，税务登记证或“三证合一”营业执照等证件；</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2、挂网产品投标人具有四川省医用耗材集中挂网阳光采购系统配送企业资格； </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3、投标产品属于医疗器械的，供应商应提供相关有效的医疗器械生产或经营企业许可证或备案证明文件，且投标产品应属于其经营范围，同时提供有效的医疗器械注册证（备案证明）；</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注：以上资料必须齐全，复印件须加盖投标人公章。</w:t>
      </w:r>
    </w:p>
    <w:p>
      <w:pPr>
        <w:keepNext w:val="0"/>
        <w:keepLines w:val="0"/>
        <w:pageBreakBefore w:val="0"/>
        <w:kinsoku/>
        <w:wordWrap/>
        <w:overflowPunct/>
        <w:topLinePunct w:val="0"/>
        <w:bidi w:val="0"/>
        <w:snapToGrid/>
        <w:spacing w:line="560" w:lineRule="exact"/>
        <w:ind w:left="0" w:leftChars="0" w:right="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三、投标要求</w:t>
      </w:r>
    </w:p>
    <w:p>
      <w:pPr>
        <w:keepNext w:val="0"/>
        <w:keepLines w:val="0"/>
        <w:pageBreakBefore w:val="0"/>
        <w:kinsoku/>
        <w:wordWrap/>
        <w:overflowPunct/>
        <w:topLinePunct w:val="0"/>
        <w:bidi w:val="0"/>
        <w:snapToGrid/>
        <w:spacing w:line="560" w:lineRule="exact"/>
        <w:ind w:left="0" w:leftChars="0" w:right="0"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kern w:val="0"/>
          <w:sz w:val="32"/>
          <w:szCs w:val="32"/>
        </w:rPr>
        <w:t>1、投标人应按照格式报送2份投标项目报价表和1份技术要求应答表，需加盖投标人公章。除投标报价表以外的资质文件必须装订，并加盖骑缝章，不接受未经装订的投标资料，否则视为无效投标。将所有文件密封并在封口处加盖骑缝章，</w:t>
      </w:r>
      <w:r>
        <w:rPr>
          <w:rFonts w:hint="eastAsia" w:ascii="仿宋_GB2312" w:hAnsi="仿宋_GB2312" w:eastAsia="仿宋_GB2312" w:cs="仿宋_GB2312"/>
          <w:b w:val="0"/>
          <w:bCs w:val="0"/>
          <w:sz w:val="32"/>
          <w:szCs w:val="32"/>
        </w:rPr>
        <w:t>不接受密封袋以外的投标资料（样品除外）</w:t>
      </w:r>
      <w:r>
        <w:rPr>
          <w:rFonts w:hint="eastAsia" w:ascii="仿宋_GB2312" w:hAnsi="仿宋_GB2312" w:eastAsia="仿宋_GB2312" w:cs="仿宋_GB2312"/>
          <w:b w:val="0"/>
          <w:bCs w:val="0"/>
          <w:sz w:val="32"/>
          <w:szCs w:val="32"/>
          <w:lang w:eastAsia="zh-CN"/>
        </w:rPr>
        <w:t>。</w:t>
      </w:r>
    </w:p>
    <w:p>
      <w:pPr>
        <w:keepNext w:val="0"/>
        <w:keepLines w:val="0"/>
        <w:pageBreakBefore w:val="0"/>
        <w:kinsoku/>
        <w:wordWrap/>
        <w:overflowPunct/>
        <w:topLinePunct w:val="0"/>
        <w:bidi w:val="0"/>
        <w:snapToGrid/>
        <w:spacing w:line="56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经办人委托书、经办人身份证复印件、营业执照、资质证书等，并加盖投标企业鲜章。</w:t>
      </w:r>
    </w:p>
    <w:p>
      <w:pPr>
        <w:keepNext w:val="0"/>
        <w:keepLines w:val="0"/>
        <w:pageBreakBefore w:val="0"/>
        <w:kinsoku/>
        <w:wordWrap/>
        <w:overflowPunct/>
        <w:topLinePunct w:val="0"/>
        <w:bidi w:val="0"/>
        <w:snapToGrid/>
        <w:spacing w:line="56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3、挂网产品价格不得高于开标当月四川省医用耗材（体外诊断试剂）集中挂网阳光采购系统该品种加权平均价、外省参考价和企业自报价，否则视为无效投标</w:t>
      </w:r>
      <w:r>
        <w:rPr>
          <w:rFonts w:hint="eastAsia" w:ascii="仿宋_GB2312" w:hAnsi="仿宋_GB2312" w:eastAsia="仿宋_GB2312" w:cs="仿宋_GB2312"/>
          <w:sz w:val="32"/>
          <w:szCs w:val="32"/>
          <w:lang w:eastAsia="zh-CN"/>
        </w:rPr>
        <w:t>。</w:t>
      </w:r>
    </w:p>
    <w:p>
      <w:pPr>
        <w:pStyle w:val="2"/>
        <w:keepNext w:val="0"/>
        <w:keepLines w:val="0"/>
        <w:pageBreakBefore w:val="0"/>
        <w:kinsoku/>
        <w:wordWrap/>
        <w:overflowPunct/>
        <w:topLinePunct w:val="0"/>
        <w:bidi w:val="0"/>
        <w:snapToGrid/>
        <w:spacing w:after="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4、提供服务承诺函。</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四、递交投标文件</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符合条件且愿意参加投标的单位于2019年11月2</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日开标时到开标地点</w:t>
      </w:r>
      <w:r>
        <w:rPr>
          <w:rFonts w:hint="eastAsia" w:ascii="仿宋_GB2312" w:hAnsi="仿宋_GB2312" w:eastAsia="仿宋_GB2312" w:cs="仿宋_GB2312"/>
          <w:color w:val="000000"/>
          <w:kern w:val="0"/>
          <w:sz w:val="32"/>
          <w:szCs w:val="32"/>
          <w:lang w:val="zh-CN"/>
        </w:rPr>
        <w:t>递交投标文件</w:t>
      </w:r>
      <w:r>
        <w:rPr>
          <w:rFonts w:hint="eastAsia" w:ascii="仿宋_GB2312" w:hAnsi="仿宋_GB2312" w:eastAsia="仿宋_GB2312" w:cs="仿宋_GB2312"/>
          <w:color w:val="000000"/>
          <w:kern w:val="0"/>
          <w:sz w:val="32"/>
          <w:szCs w:val="32"/>
        </w:rPr>
        <w:t>。</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五</w:t>
      </w:r>
      <w:r>
        <w:rPr>
          <w:rFonts w:hint="eastAsia" w:ascii="黑体" w:hAnsi="黑体" w:eastAsia="黑体" w:cs="黑体"/>
          <w:color w:val="000000"/>
          <w:kern w:val="0"/>
          <w:sz w:val="32"/>
          <w:szCs w:val="32"/>
          <w:lang w:val="zh-CN"/>
        </w:rPr>
        <w:t>、开标时间</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2019年</w:t>
      </w: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月</w:t>
      </w:r>
      <w:bookmarkStart w:id="0" w:name="_GoBack"/>
      <w:bookmarkEnd w:id="0"/>
      <w:r>
        <w:rPr>
          <w:rFonts w:hint="eastAsia" w:ascii="仿宋_GB2312" w:hAnsi="仿宋_GB2312" w:eastAsia="仿宋_GB2312" w:cs="仿宋_GB2312"/>
          <w:color w:val="000000"/>
          <w:kern w:val="0"/>
          <w:sz w:val="32"/>
          <w:szCs w:val="32"/>
          <w:lang w:val="zh-CN"/>
        </w:rPr>
        <w:t>2</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六、开标地点</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内江市第一人民医院新区医院全科楼</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楼会议室。</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zh-CN"/>
        </w:rPr>
        <w:t>七、中标方式</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符合以上要求，采用最低价中标。</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黑体" w:hAnsi="黑体" w:eastAsia="黑体" w:cs="黑体"/>
          <w:b/>
          <w:bCs/>
          <w:color w:val="000000"/>
          <w:kern w:val="0"/>
          <w:sz w:val="32"/>
          <w:szCs w:val="32"/>
        </w:rPr>
      </w:pPr>
      <w:r>
        <w:rPr>
          <w:rFonts w:hint="eastAsia" w:ascii="黑体" w:hAnsi="黑体" w:eastAsia="黑体" w:cs="黑体"/>
          <w:color w:val="000000"/>
          <w:kern w:val="0"/>
          <w:sz w:val="32"/>
          <w:szCs w:val="32"/>
          <w:lang w:val="zh-CN"/>
        </w:rPr>
        <w:t>八、联系方式</w:t>
      </w:r>
    </w:p>
    <w:p>
      <w:pPr>
        <w:keepNext w:val="0"/>
        <w:keepLines w:val="0"/>
        <w:pageBreakBefore w:val="0"/>
        <w:kinsoku/>
        <w:wordWrap/>
        <w:overflowPunct/>
        <w:topLinePunct w:val="0"/>
        <w:autoSpaceDE w:val="0"/>
        <w:autoSpaceDN w:val="0"/>
        <w:bidi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keepNext w:val="0"/>
        <w:keepLines w:val="0"/>
        <w:pageBreakBefore w:val="0"/>
        <w:kinsoku/>
        <w:wordWrap/>
        <w:overflowPunct/>
        <w:topLinePunct w:val="0"/>
        <w:autoSpaceDE w:val="0"/>
        <w:autoSpaceDN w:val="0"/>
        <w:bidi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 系 人：林先生</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sz w:val="32"/>
          <w:szCs w:val="32"/>
        </w:rPr>
        <w:t>0832-2102308</w:t>
      </w:r>
    </w:p>
    <w:p>
      <w:pPr>
        <w:pStyle w:val="2"/>
        <w:keepNext w:val="0"/>
        <w:keepLines w:val="0"/>
        <w:pageBreakBefore w:val="0"/>
        <w:kinsoku/>
        <w:wordWrap/>
        <w:overflowPunct/>
        <w:topLinePunct w:val="0"/>
        <w:bidi w:val="0"/>
        <w:snapToGrid/>
        <w:spacing w:after="0" w:line="560" w:lineRule="exact"/>
        <w:ind w:left="0" w:leftChars="0" w:righ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w:t>
      </w: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right"/>
        <w:textAlignment w:val="auto"/>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bidi w:val="0"/>
        <w:adjustRightInd w:val="0"/>
        <w:snapToGrid/>
        <w:spacing w:line="560" w:lineRule="exact"/>
        <w:ind w:left="0" w:leftChars="0" w:right="0" w:firstLine="640" w:firstLineChars="200"/>
        <w:jc w:val="righ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keepNext w:val="0"/>
        <w:keepLines w:val="0"/>
        <w:pageBreakBefore w:val="0"/>
        <w:kinsoku/>
        <w:wordWrap/>
        <w:overflowPunct/>
        <w:topLinePunct w:val="0"/>
        <w:bidi w:val="0"/>
        <w:snapToGrid/>
        <w:spacing w:after="0" w:line="560" w:lineRule="exact"/>
        <w:ind w:left="0" w:leftChars="0" w:right="0" w:firstLine="640" w:firstLineChars="200"/>
        <w:jc w:val="right"/>
        <w:textAlignment w:val="auto"/>
        <w:rPr>
          <w:rFonts w:ascii="宋体" w:cs="宋体"/>
        </w:rPr>
      </w:pPr>
      <w:r>
        <w:rPr>
          <w:rFonts w:hint="eastAsia" w:ascii="仿宋_GB2312" w:hAnsi="仿宋_GB2312" w:eastAsia="仿宋_GB2312" w:cs="仿宋_GB2312"/>
          <w:color w:val="000000"/>
          <w:kern w:val="0"/>
          <w:sz w:val="32"/>
          <w:szCs w:val="32"/>
        </w:rPr>
        <w:t>2019年11月</w:t>
      </w:r>
      <w:r>
        <w:rPr>
          <w:rFonts w:hint="eastAsia" w:ascii="仿宋_GB2312" w:hAnsi="仿宋_GB2312" w:eastAsia="仿宋_GB2312" w:cs="仿宋_GB2312"/>
          <w:color w:val="000000"/>
          <w:kern w:val="0"/>
          <w:sz w:val="32"/>
          <w:szCs w:val="32"/>
          <w:lang w:val="en-US" w:eastAsia="zh-CN"/>
        </w:rPr>
        <w:t>22</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30C94"/>
    <w:rsid w:val="00043BCF"/>
    <w:rsid w:val="00043D14"/>
    <w:rsid w:val="00057567"/>
    <w:rsid w:val="00057962"/>
    <w:rsid w:val="00084C77"/>
    <w:rsid w:val="000974D6"/>
    <w:rsid w:val="000E35CD"/>
    <w:rsid w:val="0010572F"/>
    <w:rsid w:val="0011675A"/>
    <w:rsid w:val="001229F0"/>
    <w:rsid w:val="00131906"/>
    <w:rsid w:val="00135562"/>
    <w:rsid w:val="00136D57"/>
    <w:rsid w:val="00170C7B"/>
    <w:rsid w:val="00170CD1"/>
    <w:rsid w:val="001865E4"/>
    <w:rsid w:val="001B1A89"/>
    <w:rsid w:val="001B6DD7"/>
    <w:rsid w:val="001D09E9"/>
    <w:rsid w:val="001E72D0"/>
    <w:rsid w:val="00221132"/>
    <w:rsid w:val="00241F82"/>
    <w:rsid w:val="00247A80"/>
    <w:rsid w:val="0025035C"/>
    <w:rsid w:val="00264ABE"/>
    <w:rsid w:val="0028569A"/>
    <w:rsid w:val="002968DC"/>
    <w:rsid w:val="002B35FD"/>
    <w:rsid w:val="002D2925"/>
    <w:rsid w:val="002D2E27"/>
    <w:rsid w:val="002D7575"/>
    <w:rsid w:val="002F56DE"/>
    <w:rsid w:val="002F7790"/>
    <w:rsid w:val="003207AE"/>
    <w:rsid w:val="00321A40"/>
    <w:rsid w:val="00331779"/>
    <w:rsid w:val="00336722"/>
    <w:rsid w:val="00347D45"/>
    <w:rsid w:val="00354E74"/>
    <w:rsid w:val="00385868"/>
    <w:rsid w:val="003E429C"/>
    <w:rsid w:val="00404AAE"/>
    <w:rsid w:val="004126A4"/>
    <w:rsid w:val="00415B59"/>
    <w:rsid w:val="00434944"/>
    <w:rsid w:val="0045211E"/>
    <w:rsid w:val="004624FC"/>
    <w:rsid w:val="00467E5B"/>
    <w:rsid w:val="004737DC"/>
    <w:rsid w:val="00477603"/>
    <w:rsid w:val="004819F5"/>
    <w:rsid w:val="00495DF7"/>
    <w:rsid w:val="004B1352"/>
    <w:rsid w:val="004C2C3F"/>
    <w:rsid w:val="004D50F9"/>
    <w:rsid w:val="005411B8"/>
    <w:rsid w:val="005441EF"/>
    <w:rsid w:val="005444E3"/>
    <w:rsid w:val="00563448"/>
    <w:rsid w:val="005C2369"/>
    <w:rsid w:val="005D76B6"/>
    <w:rsid w:val="005E2D56"/>
    <w:rsid w:val="005E69FC"/>
    <w:rsid w:val="0063676B"/>
    <w:rsid w:val="006C5B77"/>
    <w:rsid w:val="006C6DBA"/>
    <w:rsid w:val="006E1C57"/>
    <w:rsid w:val="006E5D28"/>
    <w:rsid w:val="006E5ED1"/>
    <w:rsid w:val="00703589"/>
    <w:rsid w:val="007166C5"/>
    <w:rsid w:val="00721EBA"/>
    <w:rsid w:val="00722E05"/>
    <w:rsid w:val="007266F4"/>
    <w:rsid w:val="007323EC"/>
    <w:rsid w:val="00741C48"/>
    <w:rsid w:val="00755F7B"/>
    <w:rsid w:val="007574F8"/>
    <w:rsid w:val="007B24C4"/>
    <w:rsid w:val="007B49A0"/>
    <w:rsid w:val="007F6542"/>
    <w:rsid w:val="00806FC7"/>
    <w:rsid w:val="008133B1"/>
    <w:rsid w:val="008221E0"/>
    <w:rsid w:val="00827349"/>
    <w:rsid w:val="00851360"/>
    <w:rsid w:val="00896F6E"/>
    <w:rsid w:val="008B5DE9"/>
    <w:rsid w:val="008D1DC2"/>
    <w:rsid w:val="008D214B"/>
    <w:rsid w:val="00914E68"/>
    <w:rsid w:val="00917817"/>
    <w:rsid w:val="009652E5"/>
    <w:rsid w:val="009671EF"/>
    <w:rsid w:val="00977185"/>
    <w:rsid w:val="009911A1"/>
    <w:rsid w:val="009B203A"/>
    <w:rsid w:val="009D2562"/>
    <w:rsid w:val="009E40D3"/>
    <w:rsid w:val="009E421D"/>
    <w:rsid w:val="009F5531"/>
    <w:rsid w:val="009F62CD"/>
    <w:rsid w:val="00A15E10"/>
    <w:rsid w:val="00A25DA9"/>
    <w:rsid w:val="00A57027"/>
    <w:rsid w:val="00A65954"/>
    <w:rsid w:val="00A740FF"/>
    <w:rsid w:val="00AB7C7C"/>
    <w:rsid w:val="00AD3E91"/>
    <w:rsid w:val="00AE236B"/>
    <w:rsid w:val="00AF007C"/>
    <w:rsid w:val="00B408D9"/>
    <w:rsid w:val="00B43CE2"/>
    <w:rsid w:val="00B47C40"/>
    <w:rsid w:val="00B60623"/>
    <w:rsid w:val="00B769E4"/>
    <w:rsid w:val="00BA2397"/>
    <w:rsid w:val="00BA7769"/>
    <w:rsid w:val="00BD6E55"/>
    <w:rsid w:val="00BE29C7"/>
    <w:rsid w:val="00C05599"/>
    <w:rsid w:val="00C22E2B"/>
    <w:rsid w:val="00C256CF"/>
    <w:rsid w:val="00C506A3"/>
    <w:rsid w:val="00C5585E"/>
    <w:rsid w:val="00C56D24"/>
    <w:rsid w:val="00C74016"/>
    <w:rsid w:val="00C80C9B"/>
    <w:rsid w:val="00C9433B"/>
    <w:rsid w:val="00C96012"/>
    <w:rsid w:val="00CA7B01"/>
    <w:rsid w:val="00CC69D5"/>
    <w:rsid w:val="00CD2202"/>
    <w:rsid w:val="00CF0FB7"/>
    <w:rsid w:val="00CF183A"/>
    <w:rsid w:val="00D266B1"/>
    <w:rsid w:val="00D3525E"/>
    <w:rsid w:val="00D41998"/>
    <w:rsid w:val="00D74D09"/>
    <w:rsid w:val="00D941DD"/>
    <w:rsid w:val="00D94405"/>
    <w:rsid w:val="00DA4BB9"/>
    <w:rsid w:val="00DA6FFE"/>
    <w:rsid w:val="00DC4585"/>
    <w:rsid w:val="00DD3F8E"/>
    <w:rsid w:val="00DE025A"/>
    <w:rsid w:val="00E34D3E"/>
    <w:rsid w:val="00E53DC3"/>
    <w:rsid w:val="00E60F2F"/>
    <w:rsid w:val="00E64F6C"/>
    <w:rsid w:val="00E65821"/>
    <w:rsid w:val="00EC117A"/>
    <w:rsid w:val="00EC54E5"/>
    <w:rsid w:val="00EE0584"/>
    <w:rsid w:val="00F276B3"/>
    <w:rsid w:val="00F31AC2"/>
    <w:rsid w:val="00F41A34"/>
    <w:rsid w:val="00F534FC"/>
    <w:rsid w:val="00FA46C9"/>
    <w:rsid w:val="00FA7080"/>
    <w:rsid w:val="00FD0555"/>
    <w:rsid w:val="00FF52CC"/>
    <w:rsid w:val="0CDF3115"/>
    <w:rsid w:val="1362605E"/>
    <w:rsid w:val="270771DE"/>
    <w:rsid w:val="6E72624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name="Balloon Text"/>
    <w:lsdException w:unhideWhenUsed="0" w:uiPriority="99" w:semiHidden="0" w:name="Table Grid"/>
    <w:lsdException w:unhideWhenUsed="0" w:uiPriority="0" w:semiHidden="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99"/>
    <w:pPr>
      <w:spacing w:after="120"/>
    </w:pPr>
  </w:style>
  <w:style w:type="paragraph" w:styleId="3">
    <w:name w:val="Date"/>
    <w:basedOn w:val="1"/>
    <w:next w:val="1"/>
    <w:link w:val="13"/>
    <w:qFormat/>
    <w:uiPriority w:val="99"/>
    <w:pPr>
      <w:ind w:left="100" w:leftChars="2500"/>
    </w:pPr>
  </w:style>
  <w:style w:type="paragraph" w:styleId="4">
    <w:name w:val="Balloon Text"/>
    <w:basedOn w:val="1"/>
    <w:link w:val="14"/>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rFonts w:ascii="Times New Roman" w:hAnsi="Times New Roman" w:cs="Times New Roman"/>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table" w:styleId="8">
    <w:name w:val="Table Grid"/>
    <w:basedOn w:val="7"/>
    <w:uiPriority w:val="99"/>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99"/>
    <w:rPr>
      <w:i/>
      <w:iCs/>
    </w:rPr>
  </w:style>
  <w:style w:type="character" w:styleId="11">
    <w:name w:val="Hyperlink"/>
    <w:basedOn w:val="9"/>
    <w:qFormat/>
    <w:uiPriority w:val="99"/>
    <w:rPr>
      <w:color w:val="0000FF"/>
      <w:u w:val="single"/>
    </w:rPr>
  </w:style>
  <w:style w:type="character" w:customStyle="1" w:styleId="12">
    <w:name w:val="Body Text Char"/>
    <w:basedOn w:val="9"/>
    <w:link w:val="2"/>
    <w:qFormat/>
    <w:locked/>
    <w:uiPriority w:val="99"/>
    <w:rPr>
      <w:rFonts w:ascii="Calibri" w:hAnsi="Calibri" w:cs="Calibri"/>
      <w:kern w:val="2"/>
      <w:sz w:val="24"/>
      <w:szCs w:val="24"/>
    </w:rPr>
  </w:style>
  <w:style w:type="character" w:customStyle="1" w:styleId="13">
    <w:name w:val="Date Char"/>
    <w:basedOn w:val="9"/>
    <w:link w:val="3"/>
    <w:qFormat/>
    <w:locked/>
    <w:uiPriority w:val="99"/>
    <w:rPr>
      <w:rFonts w:ascii="Calibri" w:hAnsi="Calibri" w:cs="Calibri"/>
      <w:kern w:val="2"/>
      <w:sz w:val="24"/>
      <w:szCs w:val="24"/>
    </w:rPr>
  </w:style>
  <w:style w:type="character" w:customStyle="1" w:styleId="14">
    <w:name w:val="Balloon Text Char"/>
    <w:basedOn w:val="9"/>
    <w:link w:val="4"/>
    <w:qFormat/>
    <w:locked/>
    <w:uiPriority w:val="99"/>
    <w:rPr>
      <w:rFonts w:ascii="Calibri" w:hAnsi="Calibri" w:cs="Calibri"/>
      <w:kern w:val="2"/>
      <w:sz w:val="18"/>
      <w:szCs w:val="18"/>
    </w:rPr>
  </w:style>
  <w:style w:type="character" w:customStyle="1" w:styleId="15">
    <w:name w:val="Footer Char"/>
    <w:basedOn w:val="9"/>
    <w:link w:val="5"/>
    <w:qFormat/>
    <w:locked/>
    <w:uiPriority w:val="99"/>
    <w:rPr>
      <w:kern w:val="2"/>
      <w:sz w:val="18"/>
      <w:szCs w:val="18"/>
    </w:rPr>
  </w:style>
  <w:style w:type="character" w:customStyle="1" w:styleId="16">
    <w:name w:val="Header Char"/>
    <w:basedOn w:val="9"/>
    <w:link w:val="6"/>
    <w:qFormat/>
    <w:locked/>
    <w:uiPriority w:val="99"/>
    <w:rPr>
      <w:kern w:val="2"/>
      <w:sz w:val="18"/>
      <w:szCs w:val="18"/>
    </w:rPr>
  </w:style>
  <w:style w:type="character" w:styleId="17">
    <w:name w:val="Placeholder Text"/>
    <w:basedOn w:val="9"/>
    <w:semiHidden/>
    <w:qFormat/>
    <w:uiPriority w:val="99"/>
    <w:rPr>
      <w:color w:val="808080"/>
    </w:rPr>
  </w:style>
  <w:style w:type="paragraph" w:styleId="18">
    <w:name w:val="List Paragraph"/>
    <w:basedOn w:val="1"/>
    <w:qFormat/>
    <w:uiPriority w:val="99"/>
    <w:pPr>
      <w:widowControl/>
      <w:spacing w:after="200" w:line="276" w:lineRule="auto"/>
      <w:ind w:left="720"/>
      <w:jc w:val="left"/>
    </w:pPr>
    <w:rPr>
      <w:kern w:val="0"/>
      <w:sz w:val="22"/>
      <w:szCs w:val="22"/>
    </w:rPr>
  </w:style>
  <w:style w:type="paragraph" w:customStyle="1" w:styleId="19">
    <w:name w:val="段"/>
    <w:link w:val="20"/>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0">
    <w:name w:val="段 Char"/>
    <w:basedOn w:val="9"/>
    <w:link w:val="19"/>
    <w:qFormat/>
    <w:locked/>
    <w:uiPriority w:val="99"/>
    <w:rPr>
      <w:rFonts w:ascii="宋体" w:cs="宋体"/>
      <w:sz w:val="21"/>
      <w:szCs w:val="21"/>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3</Pages>
  <Words>249</Words>
  <Characters>1422</Characters>
  <Lines>0</Lines>
  <Paragraphs>0</Paragraphs>
  <TotalTime>22</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2019-11-18T04:47:00Z</dcterms:created>
  <dc:creator>dreamsummit</dc:creator>
  <cp:lastModifiedBy>余小黑不二黑</cp:lastModifiedBy>
  <cp:lastPrinted>2019-11-20T00:58:00Z</cp:lastPrinted>
  <dcterms:modified xsi:type="dcterms:W3CDTF">2019-11-22T01:30:40Z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