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line="440" w:lineRule="exact"/>
        <w:ind w:firstLine="883" w:firstLineChars="200"/>
        <w:jc w:val="center"/>
        <w:rPr>
          <w:b/>
          <w:sz w:val="44"/>
          <w:szCs w:val="44"/>
        </w:rPr>
      </w:pPr>
      <w:r>
        <w:rPr>
          <w:rFonts w:hint="eastAsia"/>
          <w:b/>
          <w:sz w:val="44"/>
          <w:szCs w:val="44"/>
        </w:rPr>
        <w:t>综合评分明细表</w:t>
      </w:r>
    </w:p>
    <w:tbl>
      <w:tblPr>
        <w:tblStyle w:val="6"/>
        <w:tblW w:w="8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698"/>
        <w:gridCol w:w="1528"/>
        <w:gridCol w:w="4948"/>
        <w:gridCol w:w="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blHeader/>
        </w:trPr>
        <w:tc>
          <w:tcPr>
            <w:tcW w:w="628" w:type="dxa"/>
            <w:vAlign w:val="center"/>
          </w:tcPr>
          <w:p>
            <w:pPr>
              <w:widowControl/>
              <w:spacing w:line="276" w:lineRule="auto"/>
              <w:jc w:val="center"/>
              <w:rPr>
                <w:rFonts w:ascii="宋体" w:hAnsi="宋体" w:cs="宋体"/>
                <w:b/>
                <w:bCs/>
                <w:color w:val="121212"/>
                <w:kern w:val="0"/>
                <w:szCs w:val="21"/>
              </w:rPr>
            </w:pPr>
            <w:r>
              <w:rPr>
                <w:rFonts w:hint="eastAsia" w:ascii="宋体" w:hAnsi="宋体" w:cs="宋体"/>
                <w:b/>
                <w:bCs/>
                <w:color w:val="121212"/>
                <w:kern w:val="0"/>
                <w:szCs w:val="21"/>
              </w:rPr>
              <w:t>序号</w:t>
            </w:r>
          </w:p>
        </w:tc>
        <w:tc>
          <w:tcPr>
            <w:tcW w:w="2226" w:type="dxa"/>
            <w:gridSpan w:val="2"/>
            <w:vAlign w:val="center"/>
          </w:tcPr>
          <w:p>
            <w:pPr>
              <w:widowControl/>
              <w:spacing w:line="276" w:lineRule="auto"/>
              <w:jc w:val="center"/>
              <w:rPr>
                <w:rFonts w:ascii="宋体" w:hAnsi="宋体" w:cs="宋体"/>
                <w:b/>
                <w:bCs/>
                <w:color w:val="121212"/>
                <w:kern w:val="0"/>
                <w:szCs w:val="21"/>
              </w:rPr>
            </w:pPr>
            <w:r>
              <w:rPr>
                <w:rFonts w:hint="eastAsia" w:ascii="宋体" w:hAnsi="宋体" w:cs="宋体"/>
                <w:b/>
                <w:bCs/>
                <w:color w:val="121212"/>
                <w:kern w:val="0"/>
                <w:szCs w:val="21"/>
              </w:rPr>
              <w:t>评审项目</w:t>
            </w:r>
          </w:p>
        </w:tc>
        <w:tc>
          <w:tcPr>
            <w:tcW w:w="4948" w:type="dxa"/>
            <w:vAlign w:val="center"/>
          </w:tcPr>
          <w:p>
            <w:pPr>
              <w:widowControl/>
              <w:spacing w:line="276" w:lineRule="auto"/>
              <w:jc w:val="center"/>
              <w:rPr>
                <w:rFonts w:ascii="宋体" w:hAnsi="宋体" w:cs="宋体"/>
                <w:b/>
                <w:bCs/>
                <w:color w:val="121212"/>
                <w:kern w:val="0"/>
                <w:szCs w:val="21"/>
              </w:rPr>
            </w:pPr>
            <w:r>
              <w:rPr>
                <w:rFonts w:hint="eastAsia" w:ascii="宋体" w:hAnsi="宋体" w:cs="宋体"/>
                <w:b/>
                <w:bCs/>
                <w:color w:val="121212"/>
                <w:kern w:val="0"/>
                <w:szCs w:val="21"/>
              </w:rPr>
              <w:t>评分标准</w:t>
            </w:r>
          </w:p>
        </w:tc>
        <w:tc>
          <w:tcPr>
            <w:tcW w:w="963" w:type="dxa"/>
            <w:vAlign w:val="center"/>
          </w:tcPr>
          <w:p>
            <w:pPr>
              <w:widowControl/>
              <w:spacing w:line="276" w:lineRule="auto"/>
              <w:jc w:val="center"/>
              <w:rPr>
                <w:rFonts w:ascii="宋体" w:hAnsi="宋体" w:cs="宋体"/>
                <w:b/>
                <w:bCs/>
                <w:color w:val="121212"/>
                <w:kern w:val="0"/>
                <w:szCs w:val="21"/>
              </w:rPr>
            </w:pPr>
            <w:r>
              <w:rPr>
                <w:rFonts w:hint="eastAsia" w:ascii="宋体" w:hAnsi="宋体" w:cs="宋体"/>
                <w:b/>
                <w:bCs/>
                <w:color w:val="121212"/>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9" w:hRule="atLeast"/>
        </w:trPr>
        <w:tc>
          <w:tcPr>
            <w:tcW w:w="628" w:type="dxa"/>
            <w:vAlign w:val="center"/>
          </w:tcPr>
          <w:p>
            <w:pPr>
              <w:widowControl/>
              <w:spacing w:line="276" w:lineRule="auto"/>
              <w:jc w:val="center"/>
              <w:rPr>
                <w:rFonts w:ascii="宋体" w:hAnsi="宋体" w:cs="宋体"/>
                <w:color w:val="121212"/>
                <w:kern w:val="0"/>
                <w:szCs w:val="21"/>
              </w:rPr>
            </w:pPr>
            <w:r>
              <w:rPr>
                <w:rFonts w:hint="eastAsia" w:ascii="宋体" w:hAnsi="宋体" w:cs="宋体"/>
                <w:color w:val="121212"/>
                <w:kern w:val="0"/>
                <w:szCs w:val="21"/>
              </w:rPr>
              <w:t>1</w:t>
            </w:r>
          </w:p>
        </w:tc>
        <w:tc>
          <w:tcPr>
            <w:tcW w:w="2226" w:type="dxa"/>
            <w:gridSpan w:val="2"/>
            <w:vAlign w:val="center"/>
          </w:tcPr>
          <w:p>
            <w:pPr>
              <w:widowControl/>
              <w:spacing w:line="276" w:lineRule="auto"/>
              <w:jc w:val="center"/>
              <w:rPr>
                <w:rFonts w:ascii="宋体" w:hAnsi="宋体" w:cs="宋体"/>
                <w:color w:val="121212"/>
                <w:kern w:val="0"/>
                <w:szCs w:val="21"/>
              </w:rPr>
            </w:pPr>
            <w:r>
              <w:rPr>
                <w:rFonts w:hint="eastAsia" w:ascii="宋体" w:hAnsi="宋体" w:cs="宋体"/>
                <w:bCs/>
                <w:color w:val="121212"/>
                <w:szCs w:val="21"/>
              </w:rPr>
              <w:t>报价</w:t>
            </w:r>
          </w:p>
        </w:tc>
        <w:tc>
          <w:tcPr>
            <w:tcW w:w="4948" w:type="dxa"/>
            <w:vAlign w:val="center"/>
          </w:tcPr>
          <w:p>
            <w:pPr>
              <w:widowControl/>
              <w:spacing w:line="276" w:lineRule="auto"/>
              <w:jc w:val="left"/>
              <w:rPr>
                <w:rFonts w:ascii="宋体" w:hAnsi="宋体"/>
                <w:color w:val="121212"/>
                <w:szCs w:val="21"/>
              </w:rPr>
            </w:pPr>
            <w:r>
              <w:rPr>
                <w:rFonts w:hint="eastAsia" w:ascii="宋体" w:hAnsi="宋体"/>
                <w:color w:val="121212"/>
                <w:szCs w:val="21"/>
              </w:rPr>
              <w:t>（1）以本次有效的最低投标报价为基准价，投标报价得分=(基准价／投标报价)*15</w:t>
            </w:r>
          </w:p>
        </w:tc>
        <w:tc>
          <w:tcPr>
            <w:tcW w:w="963" w:type="dxa"/>
            <w:vAlign w:val="center"/>
          </w:tcPr>
          <w:p>
            <w:pPr>
              <w:spacing w:line="276" w:lineRule="auto"/>
              <w:jc w:val="center"/>
              <w:rPr>
                <w:rFonts w:ascii="宋体" w:hAnsi="宋体"/>
                <w:color w:val="121212"/>
                <w:szCs w:val="21"/>
              </w:rPr>
            </w:pPr>
            <w:r>
              <w:rPr>
                <w:rFonts w:hint="eastAsia" w:ascii="宋体" w:hAnsi="宋体"/>
                <w:bCs/>
                <w:color w:val="121212"/>
                <w:szCs w:val="21"/>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 w:hRule="atLeast"/>
        </w:trPr>
        <w:tc>
          <w:tcPr>
            <w:tcW w:w="628" w:type="dxa"/>
            <w:vMerge w:val="restart"/>
            <w:vAlign w:val="center"/>
          </w:tcPr>
          <w:p>
            <w:pPr>
              <w:spacing w:line="276" w:lineRule="auto"/>
              <w:jc w:val="center"/>
              <w:rPr>
                <w:rFonts w:ascii="宋体" w:hAnsi="宋体" w:cs="宋体"/>
                <w:color w:val="121212"/>
                <w:kern w:val="0"/>
                <w:szCs w:val="21"/>
              </w:rPr>
            </w:pPr>
            <w:r>
              <w:rPr>
                <w:rFonts w:hint="eastAsia" w:ascii="宋体" w:hAnsi="宋体" w:cs="宋体"/>
                <w:color w:val="121212"/>
                <w:kern w:val="0"/>
                <w:szCs w:val="21"/>
              </w:rPr>
              <w:t>2</w:t>
            </w:r>
          </w:p>
        </w:tc>
        <w:tc>
          <w:tcPr>
            <w:tcW w:w="698" w:type="dxa"/>
            <w:vMerge w:val="restart"/>
            <w:vAlign w:val="center"/>
          </w:tcPr>
          <w:p>
            <w:pPr>
              <w:widowControl/>
              <w:spacing w:line="276" w:lineRule="auto"/>
              <w:jc w:val="center"/>
              <w:rPr>
                <w:rFonts w:ascii="宋体" w:hAnsi="宋体" w:cs="宋体"/>
                <w:bCs/>
                <w:color w:val="121212"/>
                <w:szCs w:val="21"/>
              </w:rPr>
            </w:pPr>
            <w:r>
              <w:rPr>
                <w:rFonts w:hint="eastAsia" w:ascii="宋体" w:hAnsi="宋体" w:cs="宋体"/>
                <w:bCs/>
                <w:color w:val="121212"/>
                <w:szCs w:val="21"/>
              </w:rPr>
              <w:t>技术及服务水平</w:t>
            </w:r>
          </w:p>
        </w:tc>
        <w:tc>
          <w:tcPr>
            <w:tcW w:w="1528" w:type="dxa"/>
            <w:vAlign w:val="center"/>
          </w:tcPr>
          <w:p>
            <w:pPr>
              <w:spacing w:line="276" w:lineRule="auto"/>
              <w:jc w:val="center"/>
              <w:rPr>
                <w:rFonts w:ascii="宋体" w:hAnsi="宋体"/>
                <w:color w:val="121212"/>
                <w:szCs w:val="21"/>
              </w:rPr>
            </w:pPr>
            <w:r>
              <w:rPr>
                <w:rFonts w:hint="eastAsia" w:ascii="宋体" w:hAnsi="宋体"/>
                <w:color w:val="121212"/>
                <w:szCs w:val="21"/>
              </w:rPr>
              <w:t>备用品和维修备件</w:t>
            </w:r>
          </w:p>
        </w:tc>
        <w:tc>
          <w:tcPr>
            <w:tcW w:w="4948" w:type="dxa"/>
            <w:vAlign w:val="center"/>
          </w:tcPr>
          <w:p>
            <w:pPr>
              <w:spacing w:line="276" w:lineRule="auto"/>
              <w:rPr>
                <w:rFonts w:hAnsi="宋体"/>
                <w:color w:val="121212"/>
                <w:szCs w:val="21"/>
              </w:rPr>
            </w:pPr>
            <w:r>
              <w:rPr>
                <w:rFonts w:hint="eastAsia" w:hAnsi="宋体"/>
                <w:color w:val="121212"/>
                <w:szCs w:val="21"/>
              </w:rPr>
              <w:t>根据投标人对本项目的备件和备用品投入等进行综合评价：</w:t>
            </w:r>
          </w:p>
          <w:p>
            <w:pPr>
              <w:spacing w:line="276" w:lineRule="auto"/>
              <w:rPr>
                <w:rFonts w:hAnsi="宋体"/>
                <w:color w:val="121212"/>
                <w:szCs w:val="21"/>
              </w:rPr>
            </w:pPr>
            <w:r>
              <w:rPr>
                <w:rFonts w:hint="eastAsia" w:hAnsi="宋体"/>
                <w:color w:val="121212"/>
                <w:szCs w:val="21"/>
              </w:rPr>
              <w:t>供应商具备提供备用品的得5分；供应商具备维修备件供给渠道的另得5分（提供备件合法进货渠道证明材料加盖公章）</w:t>
            </w:r>
          </w:p>
          <w:p>
            <w:pPr>
              <w:adjustRightInd w:val="0"/>
              <w:snapToGrid w:val="0"/>
              <w:spacing w:line="276" w:lineRule="auto"/>
              <w:jc w:val="left"/>
              <w:rPr>
                <w:rFonts w:hAnsi="宋体"/>
                <w:color w:val="121212"/>
                <w:szCs w:val="21"/>
              </w:rPr>
            </w:pPr>
            <w:r>
              <w:rPr>
                <w:rFonts w:hint="eastAsia" w:hAnsi="宋体"/>
                <w:color w:val="121212"/>
                <w:szCs w:val="21"/>
              </w:rPr>
              <w:t>在此基础上：</w:t>
            </w:r>
          </w:p>
          <w:p>
            <w:pPr>
              <w:adjustRightInd w:val="0"/>
              <w:snapToGrid w:val="0"/>
              <w:spacing w:line="276" w:lineRule="auto"/>
              <w:jc w:val="left"/>
              <w:rPr>
                <w:rFonts w:ascii="宋体" w:hAnsi="宋体"/>
                <w:color w:val="121212"/>
                <w:szCs w:val="21"/>
              </w:rPr>
            </w:pPr>
            <w:r>
              <w:rPr>
                <w:rFonts w:hint="eastAsia" w:ascii="宋体" w:hAnsi="宋体"/>
                <w:color w:val="121212"/>
                <w:szCs w:val="21"/>
              </w:rPr>
              <w:t>1.供应商能提供原厂直接采购同型号备用品的另得5分（提供2019年1月1日后原厂直接采购合同或采购发票）。</w:t>
            </w:r>
          </w:p>
          <w:p>
            <w:pPr>
              <w:adjustRightInd w:val="0"/>
              <w:snapToGrid w:val="0"/>
              <w:spacing w:line="276" w:lineRule="auto"/>
              <w:jc w:val="left"/>
              <w:rPr>
                <w:rFonts w:ascii="宋体" w:hAnsi="宋体"/>
                <w:color w:val="121212"/>
                <w:szCs w:val="21"/>
              </w:rPr>
            </w:pPr>
            <w:r>
              <w:rPr>
                <w:rFonts w:hint="eastAsia" w:ascii="宋体" w:hAnsi="宋体"/>
                <w:color w:val="121212"/>
                <w:szCs w:val="21"/>
              </w:rPr>
              <w:t>2.供应商能提供原厂直接采购的全新维修备件的另得5分（提供2019年1月1日后原厂采购合同或采购发票）。</w:t>
            </w:r>
          </w:p>
          <w:p>
            <w:pPr>
              <w:adjustRightInd w:val="0"/>
              <w:snapToGrid w:val="0"/>
              <w:spacing w:line="276" w:lineRule="auto"/>
              <w:jc w:val="left"/>
              <w:rPr>
                <w:rFonts w:hAnsi="宋体"/>
                <w:color w:val="121212"/>
                <w:szCs w:val="21"/>
              </w:rPr>
            </w:pPr>
          </w:p>
        </w:tc>
        <w:tc>
          <w:tcPr>
            <w:tcW w:w="963" w:type="dxa"/>
            <w:vAlign w:val="center"/>
          </w:tcPr>
          <w:p>
            <w:pPr>
              <w:adjustRightInd w:val="0"/>
              <w:snapToGrid w:val="0"/>
              <w:spacing w:line="276" w:lineRule="auto"/>
              <w:jc w:val="center"/>
              <w:rPr>
                <w:rFonts w:ascii="宋体" w:hAnsi="宋体" w:cs="宋体"/>
                <w:color w:val="121212"/>
                <w:szCs w:val="21"/>
              </w:rPr>
            </w:pPr>
            <w:r>
              <w:rPr>
                <w:rFonts w:hint="eastAsia" w:ascii="宋体" w:hAnsi="宋体" w:cs="宋体"/>
                <w:color w:val="121212"/>
                <w:szCs w:val="21"/>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 w:hRule="atLeast"/>
        </w:trPr>
        <w:tc>
          <w:tcPr>
            <w:tcW w:w="628" w:type="dxa"/>
            <w:vMerge w:val="continue"/>
            <w:vAlign w:val="center"/>
          </w:tcPr>
          <w:p>
            <w:pPr>
              <w:spacing w:line="276" w:lineRule="auto"/>
              <w:jc w:val="center"/>
              <w:rPr>
                <w:rFonts w:ascii="宋体" w:hAnsi="宋体" w:cs="宋体"/>
                <w:color w:val="121212"/>
                <w:kern w:val="0"/>
                <w:szCs w:val="21"/>
              </w:rPr>
            </w:pPr>
          </w:p>
        </w:tc>
        <w:tc>
          <w:tcPr>
            <w:tcW w:w="698" w:type="dxa"/>
            <w:vMerge w:val="continue"/>
            <w:vAlign w:val="center"/>
          </w:tcPr>
          <w:p>
            <w:pPr>
              <w:widowControl/>
              <w:spacing w:line="276" w:lineRule="auto"/>
              <w:jc w:val="center"/>
              <w:rPr>
                <w:rFonts w:ascii="宋体" w:hAnsi="宋体" w:cs="宋体"/>
                <w:bCs/>
                <w:color w:val="121212"/>
                <w:szCs w:val="21"/>
              </w:rPr>
            </w:pPr>
          </w:p>
        </w:tc>
        <w:tc>
          <w:tcPr>
            <w:tcW w:w="1528" w:type="dxa"/>
            <w:vAlign w:val="center"/>
          </w:tcPr>
          <w:p>
            <w:pPr>
              <w:spacing w:line="276" w:lineRule="auto"/>
              <w:jc w:val="center"/>
              <w:rPr>
                <w:color w:val="121212"/>
                <w:szCs w:val="21"/>
              </w:rPr>
            </w:pPr>
            <w:r>
              <w:rPr>
                <w:rFonts w:hint="eastAsia"/>
                <w:color w:val="121212"/>
                <w:szCs w:val="21"/>
              </w:rPr>
              <w:t>项目总体实施方案</w:t>
            </w:r>
          </w:p>
        </w:tc>
        <w:tc>
          <w:tcPr>
            <w:tcW w:w="4948" w:type="dxa"/>
            <w:vAlign w:val="center"/>
          </w:tcPr>
          <w:p>
            <w:pPr>
              <w:spacing w:line="276" w:lineRule="auto"/>
              <w:rPr>
                <w:rFonts w:hAnsi="宋体"/>
                <w:color w:val="121212"/>
                <w:szCs w:val="21"/>
              </w:rPr>
            </w:pPr>
            <w:r>
              <w:rPr>
                <w:rFonts w:hint="eastAsia" w:hAnsi="宋体"/>
                <w:color w:val="121212"/>
                <w:szCs w:val="21"/>
              </w:rPr>
              <w:t>根据投标人针对本项目制定的</w:t>
            </w:r>
            <w:r>
              <w:rPr>
                <w:rFonts w:hint="eastAsia"/>
                <w:color w:val="121212"/>
                <w:szCs w:val="21"/>
              </w:rPr>
              <w:t>项目总体实施方案</w:t>
            </w:r>
            <w:r>
              <w:rPr>
                <w:rFonts w:hint="eastAsia" w:hAnsi="宋体"/>
                <w:color w:val="121212"/>
                <w:szCs w:val="21"/>
              </w:rPr>
              <w:t>进行综合评价：</w:t>
            </w:r>
          </w:p>
          <w:p>
            <w:pPr>
              <w:spacing w:line="276" w:lineRule="auto"/>
              <w:rPr>
                <w:rFonts w:hAnsi="宋体"/>
                <w:color w:val="121212"/>
                <w:szCs w:val="21"/>
              </w:rPr>
            </w:pPr>
            <w:r>
              <w:rPr>
                <w:rFonts w:hint="eastAsia" w:ascii="宋体" w:hAnsi="宋体"/>
                <w:color w:val="121212"/>
                <w:szCs w:val="21"/>
              </w:rPr>
              <w:t>包含</w:t>
            </w:r>
            <w:r>
              <w:rPr>
                <w:rFonts w:hint="eastAsia"/>
                <w:color w:val="121212"/>
                <w:szCs w:val="21"/>
              </w:rPr>
              <w:t>项目总体实施方案</w:t>
            </w:r>
            <w:r>
              <w:rPr>
                <w:rFonts w:hint="eastAsia" w:hAnsi="宋体"/>
                <w:color w:val="121212"/>
                <w:szCs w:val="21"/>
              </w:rPr>
              <w:t>的得10分；</w:t>
            </w:r>
          </w:p>
          <w:p>
            <w:pPr>
              <w:adjustRightInd w:val="0"/>
              <w:snapToGrid w:val="0"/>
              <w:spacing w:line="276" w:lineRule="auto"/>
              <w:jc w:val="left"/>
              <w:rPr>
                <w:rFonts w:hAnsi="宋体"/>
                <w:color w:val="121212"/>
                <w:szCs w:val="21"/>
              </w:rPr>
            </w:pPr>
            <w:r>
              <w:rPr>
                <w:rFonts w:hint="eastAsia" w:hAnsi="宋体"/>
                <w:color w:val="121212"/>
                <w:szCs w:val="21"/>
              </w:rPr>
              <w:t>在此基础上：</w:t>
            </w:r>
          </w:p>
          <w:p>
            <w:pPr>
              <w:adjustRightInd w:val="0"/>
              <w:snapToGrid w:val="0"/>
              <w:spacing w:line="276" w:lineRule="auto"/>
              <w:jc w:val="left"/>
              <w:rPr>
                <w:rFonts w:hAnsi="宋体"/>
                <w:color w:val="121212"/>
                <w:szCs w:val="21"/>
              </w:rPr>
            </w:pPr>
            <w:r>
              <w:rPr>
                <w:rFonts w:hint="eastAsia" w:ascii="宋体" w:hAnsi="宋体"/>
                <w:color w:val="121212"/>
                <w:szCs w:val="21"/>
              </w:rPr>
              <w:t>包含应急预案的另得5分。</w:t>
            </w:r>
          </w:p>
        </w:tc>
        <w:tc>
          <w:tcPr>
            <w:tcW w:w="963" w:type="dxa"/>
            <w:vAlign w:val="center"/>
          </w:tcPr>
          <w:p>
            <w:pPr>
              <w:adjustRightInd w:val="0"/>
              <w:snapToGrid w:val="0"/>
              <w:spacing w:line="276" w:lineRule="auto"/>
              <w:jc w:val="center"/>
              <w:rPr>
                <w:rFonts w:ascii="宋体" w:hAnsi="宋体" w:cs="宋体"/>
                <w:color w:val="121212"/>
                <w:szCs w:val="21"/>
              </w:rPr>
            </w:pPr>
            <w:r>
              <w:rPr>
                <w:rFonts w:hint="eastAsia" w:ascii="宋体" w:hAnsi="宋体" w:cs="宋体"/>
                <w:color w:val="121212"/>
                <w:szCs w:val="21"/>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 w:hRule="atLeast"/>
        </w:trPr>
        <w:tc>
          <w:tcPr>
            <w:tcW w:w="628" w:type="dxa"/>
            <w:vMerge w:val="continue"/>
            <w:vAlign w:val="center"/>
          </w:tcPr>
          <w:p>
            <w:pPr>
              <w:spacing w:line="276" w:lineRule="auto"/>
              <w:jc w:val="center"/>
              <w:rPr>
                <w:rFonts w:ascii="宋体" w:hAnsi="宋体" w:cs="宋体"/>
                <w:color w:val="121212"/>
                <w:kern w:val="0"/>
                <w:szCs w:val="21"/>
              </w:rPr>
            </w:pPr>
          </w:p>
        </w:tc>
        <w:tc>
          <w:tcPr>
            <w:tcW w:w="698" w:type="dxa"/>
            <w:vMerge w:val="continue"/>
            <w:vAlign w:val="center"/>
          </w:tcPr>
          <w:p>
            <w:pPr>
              <w:widowControl/>
              <w:spacing w:line="276" w:lineRule="auto"/>
              <w:jc w:val="center"/>
              <w:rPr>
                <w:rFonts w:ascii="宋体" w:hAnsi="宋体" w:cs="宋体"/>
                <w:bCs/>
                <w:color w:val="121212"/>
                <w:szCs w:val="21"/>
              </w:rPr>
            </w:pPr>
          </w:p>
        </w:tc>
        <w:tc>
          <w:tcPr>
            <w:tcW w:w="1528" w:type="dxa"/>
            <w:vAlign w:val="center"/>
          </w:tcPr>
          <w:p>
            <w:pPr>
              <w:spacing w:line="276" w:lineRule="auto"/>
              <w:jc w:val="center"/>
              <w:rPr>
                <w:color w:val="121212"/>
                <w:szCs w:val="21"/>
              </w:rPr>
            </w:pPr>
            <w:r>
              <w:rPr>
                <w:rFonts w:hint="eastAsia"/>
                <w:color w:val="121212"/>
                <w:szCs w:val="21"/>
              </w:rPr>
              <w:t>项目团队配置</w:t>
            </w:r>
          </w:p>
        </w:tc>
        <w:tc>
          <w:tcPr>
            <w:tcW w:w="4948" w:type="dxa"/>
            <w:vAlign w:val="center"/>
          </w:tcPr>
          <w:p>
            <w:pPr>
              <w:spacing w:line="276" w:lineRule="auto"/>
              <w:rPr>
                <w:rFonts w:hAnsi="宋体"/>
                <w:color w:val="121212"/>
                <w:szCs w:val="21"/>
              </w:rPr>
            </w:pPr>
            <w:r>
              <w:rPr>
                <w:rFonts w:hint="eastAsia" w:hAnsi="宋体"/>
                <w:color w:val="121212"/>
                <w:szCs w:val="21"/>
              </w:rPr>
              <w:t>根据投标人拟投入本项目的团队实际情况进行综合评价：</w:t>
            </w:r>
          </w:p>
          <w:p>
            <w:pPr>
              <w:adjustRightInd w:val="0"/>
              <w:snapToGrid w:val="0"/>
              <w:spacing w:line="276" w:lineRule="auto"/>
              <w:jc w:val="left"/>
              <w:rPr>
                <w:rFonts w:hAnsi="宋体"/>
                <w:color w:val="121212"/>
                <w:szCs w:val="21"/>
              </w:rPr>
            </w:pPr>
            <w:r>
              <w:rPr>
                <w:rFonts w:hint="eastAsia" w:ascii="宋体" w:hAnsi="宋体"/>
                <w:color w:val="121212"/>
                <w:szCs w:val="21"/>
              </w:rPr>
              <w:t>包含</w:t>
            </w:r>
            <w:r>
              <w:rPr>
                <w:rFonts w:hint="eastAsia" w:hAnsi="宋体"/>
                <w:color w:val="121212"/>
                <w:szCs w:val="21"/>
              </w:rPr>
              <w:t>拟派驻本项目的团队人员情况方案的得6分；</w:t>
            </w:r>
          </w:p>
          <w:p>
            <w:pPr>
              <w:adjustRightInd w:val="0"/>
              <w:snapToGrid w:val="0"/>
              <w:spacing w:line="276" w:lineRule="auto"/>
              <w:jc w:val="left"/>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在此基础上：</w:t>
            </w:r>
          </w:p>
          <w:p>
            <w:pPr>
              <w:adjustRightInd w:val="0"/>
              <w:snapToGrid w:val="0"/>
              <w:spacing w:line="276" w:lineRule="auto"/>
              <w:jc w:val="left"/>
              <w:rPr>
                <w:rFonts w:hAnsi="宋体"/>
                <w:color w:val="121212"/>
                <w:szCs w:val="21"/>
              </w:rPr>
            </w:pPr>
            <w:r>
              <w:rPr>
                <w:rFonts w:hint="eastAsia" w:ascii="宋体" w:hAnsi="宋体"/>
                <w:color w:val="000000" w:themeColor="text1"/>
                <w:szCs w:val="21"/>
                <w14:textFill>
                  <w14:solidFill>
                    <w14:schemeClr w14:val="tx1"/>
                  </w14:solidFill>
                </w14:textFill>
              </w:rPr>
              <w:t>提供2019年1月1日后工程师获得原厂颁发的有效培训证书，每提供1人得3分，最高的9分（提供证书复印件加盖公章）；</w:t>
            </w:r>
          </w:p>
        </w:tc>
        <w:tc>
          <w:tcPr>
            <w:tcW w:w="963" w:type="dxa"/>
            <w:vAlign w:val="center"/>
          </w:tcPr>
          <w:p>
            <w:pPr>
              <w:adjustRightInd w:val="0"/>
              <w:snapToGrid w:val="0"/>
              <w:spacing w:line="276" w:lineRule="auto"/>
              <w:jc w:val="center"/>
              <w:rPr>
                <w:rFonts w:ascii="宋体" w:hAnsi="宋体" w:cs="宋体"/>
                <w:color w:val="121212"/>
                <w:szCs w:val="21"/>
              </w:rPr>
            </w:pPr>
            <w:r>
              <w:rPr>
                <w:rFonts w:hint="eastAsia" w:ascii="宋体" w:hAnsi="宋体" w:cs="宋体"/>
                <w:color w:val="121212"/>
                <w:szCs w:val="21"/>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628" w:type="dxa"/>
            <w:vMerge w:val="continue"/>
            <w:vAlign w:val="center"/>
          </w:tcPr>
          <w:p>
            <w:pPr>
              <w:spacing w:line="276" w:lineRule="auto"/>
              <w:jc w:val="center"/>
              <w:rPr>
                <w:rFonts w:ascii="宋体" w:hAnsi="宋体" w:cs="宋体"/>
                <w:color w:val="121212"/>
                <w:kern w:val="0"/>
                <w:szCs w:val="21"/>
              </w:rPr>
            </w:pPr>
          </w:p>
        </w:tc>
        <w:tc>
          <w:tcPr>
            <w:tcW w:w="698" w:type="dxa"/>
            <w:vMerge w:val="continue"/>
            <w:vAlign w:val="center"/>
          </w:tcPr>
          <w:p>
            <w:pPr>
              <w:widowControl/>
              <w:spacing w:line="276" w:lineRule="auto"/>
              <w:jc w:val="center"/>
              <w:rPr>
                <w:rFonts w:ascii="宋体" w:hAnsi="宋体" w:cs="宋体"/>
                <w:bCs/>
                <w:color w:val="121212"/>
                <w:szCs w:val="21"/>
              </w:rPr>
            </w:pPr>
          </w:p>
        </w:tc>
        <w:tc>
          <w:tcPr>
            <w:tcW w:w="1528" w:type="dxa"/>
            <w:vAlign w:val="center"/>
          </w:tcPr>
          <w:p>
            <w:pPr>
              <w:spacing w:line="276" w:lineRule="auto"/>
              <w:jc w:val="center"/>
              <w:rPr>
                <w:color w:val="121212"/>
                <w:szCs w:val="21"/>
              </w:rPr>
            </w:pPr>
            <w:r>
              <w:rPr>
                <w:rFonts w:hint="eastAsia"/>
                <w:color w:val="121212"/>
                <w:szCs w:val="21"/>
              </w:rPr>
              <w:t>服务要求</w:t>
            </w:r>
          </w:p>
        </w:tc>
        <w:tc>
          <w:tcPr>
            <w:tcW w:w="4948" w:type="dxa"/>
            <w:vAlign w:val="center"/>
          </w:tcPr>
          <w:p>
            <w:pPr>
              <w:spacing w:line="276" w:lineRule="auto"/>
              <w:rPr>
                <w:rFonts w:hAnsi="宋体"/>
                <w:color w:val="121212"/>
                <w:szCs w:val="21"/>
              </w:rPr>
            </w:pPr>
            <w:r>
              <w:rPr>
                <w:rFonts w:hint="eastAsia" w:hAnsi="宋体"/>
                <w:color w:val="121212"/>
                <w:szCs w:val="21"/>
              </w:rPr>
              <w:t>根据投标人针对本项目制定的应急预案进行综合评价。</w:t>
            </w:r>
          </w:p>
          <w:p>
            <w:pPr>
              <w:spacing w:line="276" w:lineRule="auto"/>
              <w:rPr>
                <w:rFonts w:hAnsi="宋体"/>
                <w:color w:val="121212"/>
                <w:szCs w:val="21"/>
              </w:rPr>
            </w:pPr>
            <w:r>
              <w:rPr>
                <w:rFonts w:hint="eastAsia" w:hAnsi="宋体"/>
                <w:color w:val="121212"/>
                <w:szCs w:val="21"/>
              </w:rPr>
              <w:t>供应商提供的服务内容完全符合服务要求的得10分。</w:t>
            </w:r>
          </w:p>
          <w:p>
            <w:pPr>
              <w:spacing w:line="276" w:lineRule="auto"/>
              <w:rPr>
                <w:rFonts w:hAnsi="宋体"/>
                <w:color w:val="121212"/>
                <w:szCs w:val="21"/>
              </w:rPr>
            </w:pPr>
            <w:r>
              <w:rPr>
                <w:rFonts w:hint="eastAsia" w:hAnsi="宋体"/>
                <w:color w:val="121212"/>
                <w:szCs w:val="21"/>
              </w:rPr>
              <w:t>在此基础上：</w:t>
            </w:r>
          </w:p>
          <w:p>
            <w:pPr>
              <w:adjustRightInd w:val="0"/>
              <w:snapToGrid w:val="0"/>
              <w:spacing w:line="276" w:lineRule="auto"/>
              <w:jc w:val="left"/>
              <w:rPr>
                <w:rFonts w:ascii="宋体" w:hAnsi="宋体"/>
                <w:color w:val="121212"/>
                <w:szCs w:val="21"/>
              </w:rPr>
            </w:pPr>
            <w:r>
              <w:rPr>
                <w:rFonts w:hint="eastAsia" w:ascii="宋体" w:hAnsi="宋体"/>
                <w:color w:val="121212"/>
                <w:szCs w:val="21"/>
              </w:rPr>
              <w:t>供应商提供的服务内容高于服务要求的不加分；</w:t>
            </w:r>
          </w:p>
          <w:p>
            <w:pPr>
              <w:adjustRightInd w:val="0"/>
              <w:snapToGrid w:val="0"/>
              <w:spacing w:line="276" w:lineRule="auto"/>
              <w:jc w:val="left"/>
              <w:rPr>
                <w:rFonts w:ascii="宋体" w:hAnsi="宋体"/>
                <w:color w:val="121212"/>
                <w:szCs w:val="21"/>
              </w:rPr>
            </w:pPr>
            <w:r>
              <w:rPr>
                <w:rFonts w:hint="eastAsia" w:ascii="宋体" w:hAnsi="宋体"/>
                <w:color w:val="121212"/>
                <w:szCs w:val="21"/>
              </w:rPr>
              <w:t>供应商提供的服务内容有负偏离的每项扣2分扣完为止。</w:t>
            </w:r>
          </w:p>
          <w:p>
            <w:pPr>
              <w:adjustRightInd w:val="0"/>
              <w:snapToGrid w:val="0"/>
              <w:spacing w:line="276" w:lineRule="auto"/>
              <w:jc w:val="left"/>
              <w:rPr>
                <w:rFonts w:hAnsi="宋体"/>
                <w:color w:val="121212"/>
                <w:szCs w:val="21"/>
              </w:rPr>
            </w:pPr>
          </w:p>
        </w:tc>
        <w:tc>
          <w:tcPr>
            <w:tcW w:w="963" w:type="dxa"/>
            <w:vAlign w:val="center"/>
          </w:tcPr>
          <w:p>
            <w:pPr>
              <w:adjustRightInd w:val="0"/>
              <w:snapToGrid w:val="0"/>
              <w:spacing w:line="276" w:lineRule="auto"/>
              <w:jc w:val="center"/>
              <w:rPr>
                <w:rFonts w:ascii="宋体" w:hAnsi="宋体" w:cs="宋体"/>
                <w:color w:val="121212"/>
                <w:szCs w:val="21"/>
              </w:rPr>
            </w:pPr>
            <w:r>
              <w:rPr>
                <w:rFonts w:hint="eastAsia" w:ascii="宋体" w:hAnsi="宋体" w:cs="宋体"/>
                <w:color w:val="121212"/>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28" w:type="dxa"/>
            <w:vMerge w:val="restart"/>
            <w:vAlign w:val="center"/>
          </w:tcPr>
          <w:p>
            <w:pPr>
              <w:spacing w:line="276" w:lineRule="auto"/>
              <w:jc w:val="center"/>
              <w:rPr>
                <w:rFonts w:ascii="宋体" w:hAnsi="宋体" w:cs="宋体"/>
                <w:color w:val="121212"/>
                <w:kern w:val="0"/>
                <w:szCs w:val="21"/>
              </w:rPr>
            </w:pPr>
            <w:r>
              <w:rPr>
                <w:rFonts w:hint="eastAsia" w:ascii="宋体" w:hAnsi="宋体" w:cs="宋体"/>
                <w:color w:val="121212"/>
                <w:kern w:val="0"/>
                <w:szCs w:val="21"/>
              </w:rPr>
              <w:t>3</w:t>
            </w:r>
          </w:p>
        </w:tc>
        <w:tc>
          <w:tcPr>
            <w:tcW w:w="698" w:type="dxa"/>
            <w:vMerge w:val="restart"/>
            <w:vAlign w:val="center"/>
          </w:tcPr>
          <w:p>
            <w:pPr>
              <w:spacing w:line="276" w:lineRule="auto"/>
              <w:jc w:val="center"/>
              <w:rPr>
                <w:rFonts w:ascii="宋体" w:hAnsi="宋体"/>
                <w:color w:val="121212"/>
                <w:szCs w:val="21"/>
              </w:rPr>
            </w:pPr>
            <w:r>
              <w:rPr>
                <w:rFonts w:hint="eastAsia"/>
                <w:color w:val="121212"/>
              </w:rPr>
              <w:t>履约能力</w:t>
            </w:r>
          </w:p>
        </w:tc>
        <w:tc>
          <w:tcPr>
            <w:tcW w:w="1528" w:type="dxa"/>
            <w:vAlign w:val="center"/>
          </w:tcPr>
          <w:p>
            <w:pPr>
              <w:spacing w:line="276" w:lineRule="auto"/>
              <w:jc w:val="center"/>
              <w:rPr>
                <w:rFonts w:ascii="宋体" w:hAnsi="宋体"/>
                <w:color w:val="121212"/>
                <w:szCs w:val="21"/>
              </w:rPr>
            </w:pPr>
            <w:r>
              <w:rPr>
                <w:rFonts w:hint="eastAsia" w:ascii="宋体" w:hAnsi="宋体"/>
                <w:color w:val="121212"/>
                <w:szCs w:val="21"/>
              </w:rPr>
              <w:t>项目业绩</w:t>
            </w:r>
          </w:p>
        </w:tc>
        <w:tc>
          <w:tcPr>
            <w:tcW w:w="4948" w:type="dxa"/>
            <w:vAlign w:val="center"/>
          </w:tcPr>
          <w:p>
            <w:pPr>
              <w:spacing w:line="276" w:lineRule="auto"/>
              <w:ind w:firstLine="28"/>
              <w:rPr>
                <w:rFonts w:ascii="宋体" w:hAnsi="宋体"/>
                <w:color w:val="121212"/>
                <w:szCs w:val="21"/>
              </w:rPr>
            </w:pPr>
            <w:r>
              <w:rPr>
                <w:rFonts w:hint="eastAsia" w:ascii="宋体" w:hAnsi="宋体"/>
                <w:color w:val="121212"/>
                <w:szCs w:val="21"/>
              </w:rPr>
              <w:t>2018年</w:t>
            </w:r>
            <w:r>
              <w:rPr>
                <w:rFonts w:hint="eastAsia" w:hAnsi="宋体" w:cs="宋体"/>
                <w:color w:val="121212"/>
                <w:szCs w:val="21"/>
              </w:rPr>
              <w:t>以来，</w:t>
            </w:r>
            <w:r>
              <w:rPr>
                <w:rFonts w:hint="eastAsia"/>
                <w:color w:val="121212"/>
              </w:rPr>
              <w:t>投标人</w:t>
            </w:r>
            <w:r>
              <w:rPr>
                <w:rFonts w:hint="eastAsia" w:hAnsi="宋体" w:cs="宋体"/>
                <w:color w:val="121212"/>
                <w:szCs w:val="21"/>
              </w:rPr>
              <w:t>具有类似项目业绩的（合同内容应至少包含相应同厂家品牌设备），每有一个的得2分，最多得14分。</w:t>
            </w:r>
          </w:p>
          <w:p>
            <w:pPr>
              <w:widowControl/>
              <w:spacing w:line="276" w:lineRule="auto"/>
              <w:jc w:val="left"/>
              <w:rPr>
                <w:rFonts w:ascii="宋体" w:hAnsi="宋体"/>
                <w:color w:val="121212"/>
                <w:szCs w:val="21"/>
              </w:rPr>
            </w:pPr>
            <w:r>
              <w:rPr>
                <w:rFonts w:hint="eastAsia" w:ascii="宋体" w:hAnsi="宋体"/>
                <w:color w:val="121212"/>
                <w:szCs w:val="21"/>
              </w:rPr>
              <w:t>提供项目业绩合同复印件或合同资金支付的银行票据复印件或者中标通知书。</w:t>
            </w:r>
          </w:p>
        </w:tc>
        <w:tc>
          <w:tcPr>
            <w:tcW w:w="963" w:type="dxa"/>
            <w:vAlign w:val="center"/>
          </w:tcPr>
          <w:p>
            <w:pPr>
              <w:spacing w:line="276" w:lineRule="auto"/>
              <w:jc w:val="center"/>
              <w:rPr>
                <w:rFonts w:ascii="宋体" w:hAnsi="宋体"/>
                <w:bCs/>
                <w:color w:val="121212"/>
                <w:szCs w:val="21"/>
              </w:rPr>
            </w:pPr>
            <w:r>
              <w:rPr>
                <w:rFonts w:hint="eastAsia" w:ascii="宋体" w:hAnsi="宋体"/>
                <w:bCs/>
                <w:color w:val="121212"/>
                <w:szCs w:val="21"/>
              </w:rPr>
              <w:t>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 w:hRule="atLeast"/>
        </w:trPr>
        <w:tc>
          <w:tcPr>
            <w:tcW w:w="628" w:type="dxa"/>
            <w:vMerge w:val="continue"/>
            <w:vAlign w:val="center"/>
          </w:tcPr>
          <w:p>
            <w:pPr>
              <w:widowControl/>
              <w:spacing w:line="276" w:lineRule="auto"/>
              <w:jc w:val="center"/>
              <w:rPr>
                <w:rFonts w:ascii="宋体" w:hAnsi="宋体" w:cs="宋体"/>
                <w:color w:val="121212"/>
                <w:kern w:val="0"/>
                <w:szCs w:val="21"/>
              </w:rPr>
            </w:pPr>
          </w:p>
        </w:tc>
        <w:tc>
          <w:tcPr>
            <w:tcW w:w="698" w:type="dxa"/>
            <w:vMerge w:val="continue"/>
            <w:vAlign w:val="center"/>
          </w:tcPr>
          <w:p>
            <w:pPr>
              <w:widowControl/>
              <w:spacing w:line="276" w:lineRule="auto"/>
              <w:jc w:val="center"/>
              <w:rPr>
                <w:rFonts w:ascii="宋体" w:hAnsi="宋体"/>
                <w:color w:val="121212"/>
                <w:szCs w:val="21"/>
              </w:rPr>
            </w:pPr>
          </w:p>
        </w:tc>
        <w:tc>
          <w:tcPr>
            <w:tcW w:w="1528" w:type="dxa"/>
            <w:vAlign w:val="center"/>
          </w:tcPr>
          <w:p>
            <w:pPr>
              <w:widowControl/>
              <w:spacing w:line="276" w:lineRule="auto"/>
              <w:jc w:val="center"/>
              <w:rPr>
                <w:rFonts w:ascii="宋体" w:hAnsi="宋体"/>
                <w:color w:val="121212"/>
                <w:szCs w:val="21"/>
              </w:rPr>
            </w:pPr>
            <w:r>
              <w:rPr>
                <w:rFonts w:hint="eastAsia" w:ascii="宋体" w:hAnsi="宋体"/>
                <w:color w:val="121212"/>
                <w:szCs w:val="21"/>
              </w:rPr>
              <w:t>信誉</w:t>
            </w:r>
          </w:p>
        </w:tc>
        <w:tc>
          <w:tcPr>
            <w:tcW w:w="4948" w:type="dxa"/>
            <w:vAlign w:val="center"/>
          </w:tcPr>
          <w:p>
            <w:pPr>
              <w:widowControl/>
              <w:spacing w:line="276" w:lineRule="auto"/>
              <w:jc w:val="left"/>
              <w:rPr>
                <w:color w:val="121212"/>
                <w:szCs w:val="21"/>
              </w:rPr>
            </w:pPr>
            <w:r>
              <w:rPr>
                <w:rFonts w:hint="eastAsia"/>
                <w:color w:val="121212"/>
                <w:szCs w:val="21"/>
              </w:rPr>
              <w:t>投标人具有所投包段设备生产厂家针对本项目授权的得1</w:t>
            </w:r>
            <w:r>
              <w:rPr>
                <w:rFonts w:hint="eastAsia"/>
                <w:color w:val="121212"/>
                <w:szCs w:val="21"/>
                <w:lang w:val="en-US" w:eastAsia="zh-CN"/>
              </w:rPr>
              <w:t>1</w:t>
            </w:r>
            <w:r>
              <w:rPr>
                <w:rFonts w:hint="eastAsia"/>
                <w:color w:val="121212"/>
                <w:szCs w:val="21"/>
              </w:rPr>
              <w:t>分（提供相应授权原件）。</w:t>
            </w:r>
            <w:bookmarkStart w:id="0" w:name="_GoBack"/>
            <w:bookmarkEnd w:id="0"/>
          </w:p>
        </w:tc>
        <w:tc>
          <w:tcPr>
            <w:tcW w:w="963" w:type="dxa"/>
            <w:vAlign w:val="center"/>
          </w:tcPr>
          <w:p>
            <w:pPr>
              <w:widowControl/>
              <w:spacing w:line="276" w:lineRule="auto"/>
              <w:ind w:left="-38"/>
              <w:jc w:val="center"/>
              <w:rPr>
                <w:rFonts w:ascii="宋体" w:hAnsi="宋体"/>
                <w:color w:val="121212"/>
                <w:szCs w:val="21"/>
              </w:rPr>
            </w:pPr>
            <w:r>
              <w:rPr>
                <w:rFonts w:hint="eastAsia" w:ascii="宋体" w:hAnsi="宋体"/>
                <w:bCs/>
                <w:color w:val="121212"/>
                <w:szCs w:val="21"/>
              </w:rPr>
              <w:t>11分</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F94"/>
    <w:rsid w:val="00362678"/>
    <w:rsid w:val="00911F94"/>
    <w:rsid w:val="00F03418"/>
    <w:rsid w:val="00F31437"/>
    <w:rsid w:val="4F175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uiPriority w:val="0"/>
    <w:rPr>
      <w:kern w:val="2"/>
      <w:sz w:val="18"/>
      <w:szCs w:val="18"/>
    </w:rPr>
  </w:style>
  <w:style w:type="character" w:customStyle="1" w:styleId="8">
    <w:name w:val="页脚 Char"/>
    <w:basedOn w:val="5"/>
    <w:link w:val="3"/>
    <w:uiPriority w:val="0"/>
    <w:rPr>
      <w:kern w:val="2"/>
      <w:sz w:val="18"/>
      <w:szCs w:val="18"/>
    </w:rPr>
  </w:style>
  <w:style w:type="paragraph" w:customStyle="1" w:styleId="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0">
    <w:name w:val="批注框文本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714</Words>
  <Characters>96</Characters>
  <Lines>1</Lines>
  <Paragraphs>1</Paragraphs>
  <TotalTime>13</TotalTime>
  <ScaleCrop>false</ScaleCrop>
  <LinksUpToDate>false</LinksUpToDate>
  <CharactersWithSpaces>809</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2020-05-21T10:03:00Z</dcterms:created>
  <dc:creator>dreamsummit</dc:creator>
  <cp:lastModifiedBy>Administrator</cp:lastModifiedBy>
  <cp:lastPrinted>2020-05-27T00:20:19Z</cp:lastPrinted>
  <dcterms:modified xsi:type="dcterms:W3CDTF">2020-05-27T00:20:52Z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