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after="0" w:afterAutospacing="0" w:line="600" w:lineRule="atLeast"/>
        <w:ind w:left="0" w:right="0" w:firstLine="810"/>
        <w:jc w:val="center"/>
        <w:rPr>
          <w:rFonts w:hint="eastAsia" w:ascii="宋体" w:hAnsi="宋体" w:eastAsia="宋体" w:cs="宋体"/>
          <w:i w:val="0"/>
          <w:caps w:val="0"/>
          <w:color w:val="000000"/>
          <w:spacing w:val="0"/>
          <w:sz w:val="18"/>
          <w:szCs w:val="18"/>
        </w:rPr>
      </w:pPr>
      <w:r>
        <w:rPr>
          <w:rFonts w:hint="eastAsia" w:ascii="宋体" w:hAnsi="宋体" w:eastAsia="宋体" w:cs="宋体"/>
          <w:i w:val="0"/>
          <w:caps w:val="0"/>
          <w:color w:val="000000"/>
          <w:spacing w:val="0"/>
          <w:sz w:val="43"/>
          <w:szCs w:val="43"/>
          <w:shd w:val="clear" w:fill="FFFFFF"/>
        </w:rPr>
        <w:t>内江市第一人民医院</w:t>
      </w:r>
    </w:p>
    <w:p>
      <w:pPr>
        <w:pStyle w:val="2"/>
        <w:keepNext w:val="0"/>
        <w:keepLines w:val="0"/>
        <w:widowControl/>
        <w:suppressLineNumbers w:val="0"/>
        <w:shd w:val="clear" w:fill="FFFFFF"/>
        <w:spacing w:before="0" w:beforeAutospacing="0" w:after="0" w:afterAutospacing="0" w:line="600" w:lineRule="atLeast"/>
        <w:ind w:left="0" w:right="0" w:firstLine="810"/>
        <w:jc w:val="center"/>
        <w:rPr>
          <w:rFonts w:hint="eastAsia" w:ascii="宋体" w:hAnsi="宋体" w:eastAsia="宋体" w:cs="宋体"/>
          <w:i w:val="0"/>
          <w:caps w:val="0"/>
          <w:color w:val="000000"/>
          <w:spacing w:val="0"/>
          <w:sz w:val="43"/>
          <w:szCs w:val="43"/>
          <w:shd w:val="clear" w:fill="FFFFFF"/>
          <w:lang w:eastAsia="zh-CN"/>
        </w:rPr>
      </w:pPr>
      <w:r>
        <w:rPr>
          <w:rFonts w:hint="eastAsia" w:ascii="宋体" w:hAnsi="宋体" w:eastAsia="宋体" w:cs="宋体"/>
          <w:i w:val="0"/>
          <w:caps w:val="0"/>
          <w:color w:val="000000"/>
          <w:spacing w:val="0"/>
          <w:sz w:val="43"/>
          <w:szCs w:val="43"/>
          <w:shd w:val="clear" w:fill="FFFFFF"/>
        </w:rPr>
        <w:t>老年综合评估系统竞选公告</w:t>
      </w:r>
      <w:r>
        <w:rPr>
          <w:rFonts w:hint="eastAsia" w:ascii="宋体" w:hAnsi="宋体" w:eastAsia="宋体" w:cs="宋体"/>
          <w:i w:val="0"/>
          <w:caps w:val="0"/>
          <w:color w:val="000000"/>
          <w:spacing w:val="0"/>
          <w:sz w:val="43"/>
          <w:szCs w:val="43"/>
          <w:shd w:val="clear" w:fill="FFFFFF"/>
          <w:lang w:eastAsia="zh-CN"/>
        </w:rPr>
        <w:t>（第二次）</w:t>
      </w:r>
    </w:p>
    <w:p>
      <w:pPr>
        <w:pStyle w:val="2"/>
        <w:keepNext w:val="0"/>
        <w:keepLines w:val="0"/>
        <w:widowControl/>
        <w:suppressLineNumbers w:val="0"/>
        <w:shd w:val="clear" w:fill="FFFFFF"/>
        <w:spacing w:before="0" w:beforeAutospacing="0" w:after="0" w:afterAutospacing="0" w:line="600" w:lineRule="atLeast"/>
        <w:ind w:left="0" w:right="0" w:firstLine="810"/>
        <w:jc w:val="center"/>
        <w:rPr>
          <w:rFonts w:hint="eastAsia" w:ascii="宋体" w:hAnsi="宋体" w:eastAsia="宋体" w:cs="宋体"/>
          <w:i w:val="0"/>
          <w:caps w:val="0"/>
          <w:color w:val="000000"/>
          <w:spacing w:val="0"/>
          <w:sz w:val="43"/>
          <w:szCs w:val="43"/>
          <w:shd w:val="clear" w:fill="FFFFFF"/>
        </w:rPr>
      </w:pPr>
    </w:p>
    <w:p>
      <w:pPr>
        <w:pStyle w:val="2"/>
        <w:keepNext w:val="0"/>
        <w:keepLines w:val="0"/>
        <w:widowControl/>
        <w:suppressLineNumbers w:val="0"/>
        <w:shd w:val="clear" w:fill="FFFFFF"/>
        <w:spacing w:before="0"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ascii="仿宋_GB2312" w:hAnsi="宋体" w:eastAsia="仿宋_GB2312" w:cs="仿宋_GB2312"/>
          <w:b/>
          <w:i w:val="0"/>
          <w:caps w:val="0"/>
          <w:color w:val="000000"/>
          <w:spacing w:val="0"/>
          <w:sz w:val="31"/>
          <w:szCs w:val="31"/>
          <w:shd w:val="clear" w:fill="FFFFFF"/>
        </w:rPr>
        <w:t>一、</w:t>
      </w:r>
      <w:r>
        <w:rPr>
          <w:rStyle w:val="5"/>
          <w:rFonts w:hint="default" w:ascii="仿宋_GB2312" w:hAnsi="宋体" w:eastAsia="仿宋_GB2312" w:cs="仿宋_GB2312"/>
          <w:i w:val="0"/>
          <w:caps w:val="0"/>
          <w:color w:val="000000"/>
          <w:spacing w:val="0"/>
          <w:sz w:val="31"/>
          <w:szCs w:val="31"/>
          <w:shd w:val="clear" w:fill="FFFFFF"/>
        </w:rPr>
        <w:t>我院院办拟购买老年综合评估系统，相关说明具体如下</w:t>
      </w:r>
    </w:p>
    <w:p>
      <w:pPr>
        <w:pStyle w:val="2"/>
        <w:keepNext w:val="0"/>
        <w:keepLines w:val="0"/>
        <w:widowControl/>
        <w:suppressLineNumbers w:val="0"/>
        <w:shd w:val="clear" w:fill="FFFFFF"/>
        <w:spacing w:before="0"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shd w:val="clear" w:fill="FFFFFF"/>
        </w:rPr>
        <w:t>（1）用于老年病科呼吸与危重症医学科对65岁以上老年人的临床评估。</w:t>
      </w:r>
    </w:p>
    <w:p>
      <w:pPr>
        <w:pStyle w:val="2"/>
        <w:keepNext w:val="0"/>
        <w:keepLines w:val="0"/>
        <w:widowControl/>
        <w:suppressLineNumbers w:val="0"/>
        <w:spacing w:before="75"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（2）产品价格不能超过预算价15万元。</w:t>
      </w:r>
    </w:p>
    <w:p>
      <w:pPr>
        <w:pStyle w:val="2"/>
        <w:keepNext w:val="0"/>
        <w:keepLines w:val="0"/>
        <w:widowControl/>
        <w:suppressLineNumbers w:val="0"/>
        <w:spacing w:before="75"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（3）软件总体技术要求</w:t>
      </w:r>
    </w:p>
    <w:p>
      <w:pPr>
        <w:pStyle w:val="2"/>
        <w:keepNext w:val="0"/>
        <w:keepLines w:val="0"/>
        <w:widowControl/>
        <w:suppressLineNumbers w:val="0"/>
        <w:spacing w:before="75"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1.基于云计算业务架构；</w:t>
      </w:r>
    </w:p>
    <w:p>
      <w:pPr>
        <w:pStyle w:val="2"/>
        <w:keepNext w:val="0"/>
        <w:keepLines w:val="0"/>
        <w:widowControl/>
        <w:suppressLineNumbers w:val="0"/>
        <w:spacing w:before="75"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2.基于数据仓库数据库架构；</w:t>
      </w:r>
    </w:p>
    <w:p>
      <w:pPr>
        <w:pStyle w:val="2"/>
        <w:keepNext w:val="0"/>
        <w:keepLines w:val="0"/>
        <w:widowControl/>
        <w:suppressLineNumbers w:val="0"/>
        <w:spacing w:before="75"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3.基于数据检索和数据挖掘技术；</w:t>
      </w:r>
    </w:p>
    <w:p>
      <w:pPr>
        <w:pStyle w:val="2"/>
        <w:keepNext w:val="0"/>
        <w:keepLines w:val="0"/>
        <w:widowControl/>
        <w:suppressLineNumbers w:val="0"/>
        <w:spacing w:before="75"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4.先进性和成熟性：采用目前比较成熟的先进技术和产品，例如：C#、Java、PHP、SQL Server、MySQL等。</w:t>
      </w:r>
    </w:p>
    <w:p>
      <w:pPr>
        <w:pStyle w:val="2"/>
        <w:keepNext w:val="0"/>
        <w:keepLines w:val="0"/>
        <w:widowControl/>
        <w:suppressLineNumbers w:val="0"/>
        <w:spacing w:before="75"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5.开放性和标准性：采用有关的国家标准，例如：GB/T19001-2000应用于计算机软件的指南等。</w:t>
      </w:r>
    </w:p>
    <w:p>
      <w:pPr>
        <w:pStyle w:val="2"/>
        <w:keepNext w:val="0"/>
        <w:keepLines w:val="0"/>
        <w:widowControl/>
        <w:suppressLineNumbers w:val="0"/>
        <w:spacing w:before="75"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6.实效性和共享性：能够及时、准确、动态地更新,并提供信息资源的共享和传递。</w:t>
      </w:r>
    </w:p>
    <w:p>
      <w:pPr>
        <w:pStyle w:val="2"/>
        <w:keepNext w:val="0"/>
        <w:keepLines w:val="0"/>
        <w:widowControl/>
        <w:suppressLineNumbers w:val="0"/>
        <w:spacing w:before="75"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7.安全性：实现数据库三层结构安全管理，支持多级权限管理，安全性有稳固的保障。多层安全性保障，从操作系统、数据库、应用软件等多层次设置安全屏障，有效保证数据安全，保证数据不被篡改，保证网络信息的安全性、完整性。</w:t>
      </w:r>
    </w:p>
    <w:p>
      <w:pPr>
        <w:pStyle w:val="2"/>
        <w:keepNext w:val="0"/>
        <w:keepLines w:val="0"/>
        <w:widowControl/>
        <w:suppressLineNumbers w:val="0"/>
        <w:spacing w:before="75"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8.系统平台接入遵守规范：统一用户管理、统一信息发布、统一公文交换、统一数据交换等接口规范。</w:t>
      </w:r>
    </w:p>
    <w:p>
      <w:pPr>
        <w:pStyle w:val="2"/>
        <w:keepNext w:val="0"/>
        <w:keepLines w:val="0"/>
        <w:widowControl/>
        <w:suppressLineNumbers w:val="0"/>
        <w:spacing w:before="75"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9.可操作性和易用性：软件使用简单、操作方便，具有良好的操作界面，尽可能考虑今后业务的发展。</w:t>
      </w:r>
    </w:p>
    <w:p>
      <w:pPr>
        <w:pStyle w:val="2"/>
        <w:keepNext w:val="0"/>
        <w:keepLines w:val="0"/>
        <w:widowControl/>
        <w:suppressLineNumbers w:val="0"/>
        <w:spacing w:before="75"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10.提供可扩展业务及数据接口。</w:t>
      </w:r>
    </w:p>
    <w:p>
      <w:pPr>
        <w:pStyle w:val="2"/>
        <w:keepNext w:val="0"/>
        <w:keepLines w:val="0"/>
        <w:widowControl/>
        <w:suppressLineNumbers w:val="0"/>
        <w:spacing w:before="75" w:beforeAutospacing="0" w:after="75"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（4）软件及服务功能参数</w:t>
      </w:r>
    </w:p>
    <w:p>
      <w:pPr>
        <w:pStyle w:val="2"/>
        <w:keepNext w:val="0"/>
        <w:keepLines w:val="0"/>
        <w:widowControl/>
        <w:suppressLineNumbers w:val="0"/>
        <w:spacing w:before="75"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Style w:val="5"/>
          <w:rFonts w:hint="default" w:ascii="仿宋_GB2312" w:hAnsi="宋体" w:eastAsia="仿宋_GB2312" w:cs="仿宋_GB2312"/>
          <w:i w:val="0"/>
          <w:caps w:val="0"/>
          <w:color w:val="000000"/>
          <w:spacing w:val="0"/>
          <w:sz w:val="31"/>
          <w:szCs w:val="31"/>
        </w:rPr>
        <w:t>老年健康综合医学评估管理SAAS软件系统：</w:t>
      </w:r>
    </w:p>
    <w:p>
      <w:pPr>
        <w:pStyle w:val="2"/>
        <w:keepNext w:val="0"/>
        <w:keepLines w:val="0"/>
        <w:widowControl/>
        <w:suppressLineNumbers w:val="0"/>
        <w:spacing w:before="75"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1.提供桌面电脑端（PC），IOS、Android手机终端使用；</w:t>
      </w:r>
    </w:p>
    <w:p>
      <w:pPr>
        <w:pStyle w:val="2"/>
        <w:keepNext w:val="0"/>
        <w:keepLines w:val="0"/>
        <w:widowControl/>
        <w:suppressLineNumbers w:val="0"/>
        <w:spacing w:before="75"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2.适合于医疗机构使用的老年综合评估（CGA）产品组件模块，评估内容包括老年人病理评估、精神意识评估、躯体功能评估、老年综合征评估、社会参与度与社会支持评估等。</w:t>
      </w:r>
    </w:p>
    <w:p>
      <w:pPr>
        <w:pStyle w:val="2"/>
        <w:keepNext w:val="0"/>
        <w:keepLines w:val="0"/>
        <w:widowControl/>
        <w:suppressLineNumbers w:val="0"/>
        <w:spacing w:before="75"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3.评估内容由编号A到T的20个领域的内容与医学量表组成：</w:t>
      </w:r>
    </w:p>
    <w:p>
      <w:pPr>
        <w:pStyle w:val="2"/>
        <w:keepNext w:val="0"/>
        <w:keepLines w:val="0"/>
        <w:widowControl/>
        <w:suppressLineNumbers w:val="0"/>
        <w:spacing w:before="75"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A（身份信息），B（服务纳入与原始病史），C（认知能力），D（交流和视觉），E（情绪和行为），F（社会心理健康情况），G（机能状况）,H（自制力），I（疾病诊断），J（健康状况），K（口腔和营养状况），L（皮肤状况），M（药物），N（治疗与疗程)），O（责任），P（社会支持），Q（环境评估），R（结束护理的可能性与总体状况），S（结束护理），T（评估信息）等。</w:t>
      </w:r>
    </w:p>
    <w:p>
      <w:pPr>
        <w:pStyle w:val="2"/>
        <w:keepNext w:val="0"/>
        <w:keepLines w:val="0"/>
        <w:widowControl/>
        <w:suppressLineNumbers w:val="0"/>
        <w:spacing w:before="75"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4.包含CGA评估模型；</w:t>
      </w:r>
    </w:p>
    <w:p>
      <w:pPr>
        <w:pStyle w:val="2"/>
        <w:keepNext w:val="0"/>
        <w:keepLines w:val="0"/>
        <w:widowControl/>
        <w:suppressLineNumbers w:val="0"/>
        <w:spacing w:before="75"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5.评估智能化，提供智能筛查；</w:t>
      </w:r>
    </w:p>
    <w:p>
      <w:pPr>
        <w:pStyle w:val="2"/>
        <w:keepNext w:val="0"/>
        <w:keepLines w:val="0"/>
        <w:widowControl/>
        <w:suppressLineNumbers w:val="0"/>
        <w:spacing w:before="75"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6.自动即时产生评估结论；</w:t>
      </w:r>
    </w:p>
    <w:p>
      <w:pPr>
        <w:pStyle w:val="2"/>
        <w:keepNext w:val="0"/>
        <w:keepLines w:val="0"/>
        <w:widowControl/>
        <w:suppressLineNumbers w:val="0"/>
        <w:spacing w:before="75"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7.自动即时生成评估报告；</w:t>
      </w:r>
    </w:p>
    <w:p>
      <w:pPr>
        <w:pStyle w:val="2"/>
        <w:keepNext w:val="0"/>
        <w:keepLines w:val="0"/>
        <w:widowControl/>
        <w:suppressLineNumbers w:val="0"/>
        <w:spacing w:before="75"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8.包含管理系统，内容包括患者管理、评估人员管理、评估（过程）管理、评估报告管理、网络检索与查询系统等；</w:t>
      </w:r>
    </w:p>
    <w:p>
      <w:pPr>
        <w:pStyle w:val="2"/>
        <w:keepNext w:val="0"/>
        <w:keepLines w:val="0"/>
        <w:widowControl/>
        <w:suppressLineNumbers w:val="0"/>
        <w:spacing w:before="75"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9.支持与其它系统数据融合。</w:t>
      </w:r>
    </w:p>
    <w:p>
      <w:pPr>
        <w:pStyle w:val="2"/>
        <w:keepNext w:val="0"/>
        <w:keepLines w:val="0"/>
        <w:widowControl/>
        <w:suppressLineNumbers w:val="0"/>
        <w:shd w:val="clear" w:fill="FFFFFF"/>
        <w:spacing w:before="0"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Style w:val="5"/>
          <w:rFonts w:hint="default" w:ascii="仿宋_GB2312" w:hAnsi="宋体" w:eastAsia="仿宋_GB2312" w:cs="仿宋_GB2312"/>
          <w:i w:val="0"/>
          <w:caps w:val="0"/>
          <w:color w:val="000000"/>
          <w:spacing w:val="0"/>
          <w:sz w:val="31"/>
          <w:szCs w:val="31"/>
          <w:shd w:val="clear" w:fill="FFFFFF"/>
        </w:rPr>
        <w:t>二、供应商应具备的资格条件</w:t>
      </w:r>
    </w:p>
    <w:p>
      <w:pPr>
        <w:pStyle w:val="2"/>
        <w:keepNext w:val="0"/>
        <w:keepLines w:val="0"/>
        <w:widowControl/>
        <w:suppressLineNumbers w:val="0"/>
        <w:spacing w:before="75" w:beforeAutospacing="0" w:after="75"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1.投标人必须是在中国境内依法登记注册并仍有效存续的供应商，具有独立承担民事责任的能力；</w:t>
      </w:r>
    </w:p>
    <w:p>
      <w:pPr>
        <w:pStyle w:val="2"/>
        <w:keepNext w:val="0"/>
        <w:keepLines w:val="0"/>
        <w:widowControl/>
        <w:suppressLineNumbers w:val="0"/>
        <w:spacing w:before="75" w:beforeAutospacing="0" w:after="75"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2.有良好的商业信誉和健全的财务会计制度，参加本次采购活动前三年内，在经营活动中没有重大违法违规记录（需提供公司的财务报表以及“信用中国”和“中国政府采购网”查询截图）；</w:t>
      </w:r>
    </w:p>
    <w:p>
      <w:pPr>
        <w:pStyle w:val="2"/>
        <w:keepNext w:val="0"/>
        <w:keepLines w:val="0"/>
        <w:widowControl/>
        <w:suppressLineNumbers w:val="0"/>
        <w:spacing w:before="75" w:beforeAutospacing="0" w:after="75"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3.依照法律、行政法规、地方性法规、行政许可的强制性规定，生产、销售产品和产品本身需要取得许可证照或者需要经过认证的证明文件；</w:t>
      </w:r>
    </w:p>
    <w:p>
      <w:pPr>
        <w:pStyle w:val="2"/>
        <w:keepNext w:val="0"/>
        <w:keepLines w:val="0"/>
        <w:widowControl/>
        <w:suppressLineNumbers w:val="0"/>
        <w:spacing w:before="75" w:beforeAutospacing="0" w:after="75"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4.投标人具有该项目所需的相关经验、人力及设备。</w:t>
      </w:r>
    </w:p>
    <w:p>
      <w:pPr>
        <w:pStyle w:val="2"/>
        <w:keepNext w:val="0"/>
        <w:keepLines w:val="0"/>
        <w:widowControl/>
        <w:suppressLineNumbers w:val="0"/>
        <w:spacing w:before="75" w:beforeAutospacing="0" w:after="75"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5.本次竞选不接受联合体投标，且不允许分包或转包。</w:t>
      </w:r>
    </w:p>
    <w:p>
      <w:pPr>
        <w:pStyle w:val="2"/>
        <w:keepNext w:val="0"/>
        <w:keepLines w:val="0"/>
        <w:widowControl/>
        <w:suppressLineNumbers w:val="0"/>
        <w:shd w:val="clear" w:fill="FFFFFF"/>
        <w:spacing w:before="0"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Style w:val="5"/>
          <w:rFonts w:hint="default" w:ascii="仿宋_GB2312" w:hAnsi="宋体" w:eastAsia="仿宋_GB2312" w:cs="仿宋_GB2312"/>
          <w:i w:val="0"/>
          <w:caps w:val="0"/>
          <w:color w:val="000000"/>
          <w:spacing w:val="0"/>
          <w:sz w:val="31"/>
          <w:szCs w:val="31"/>
          <w:shd w:val="clear" w:fill="FFFFFF"/>
        </w:rPr>
        <w:t>三、报名资质文件要求</w:t>
      </w:r>
    </w:p>
    <w:p>
      <w:pPr>
        <w:pStyle w:val="2"/>
        <w:keepNext w:val="0"/>
        <w:keepLines w:val="0"/>
        <w:widowControl/>
        <w:suppressLineNumbers w:val="0"/>
        <w:spacing w:before="0"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1.公司营业执照副本（年检合格）、组织机构代码证副本（年检合格）、税务登记证。（实行三证合一的地区仅需要提供带有社会信用代码的营业执照）。</w:t>
      </w:r>
    </w:p>
    <w:p>
      <w:pPr>
        <w:pStyle w:val="2"/>
        <w:keepNext w:val="0"/>
        <w:keepLines w:val="0"/>
        <w:widowControl/>
        <w:suppressLineNumbers w:val="0"/>
        <w:spacing w:before="0"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2.相关资质证书：计算机软件著作权；</w:t>
      </w:r>
    </w:p>
    <w:p>
      <w:pPr>
        <w:pStyle w:val="2"/>
        <w:keepNext w:val="0"/>
        <w:keepLines w:val="0"/>
        <w:widowControl/>
        <w:suppressLineNumbers w:val="0"/>
        <w:spacing w:before="0"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rPr>
        <w:t>3.单位或法人授权书原件、授权代表身份证复印件。</w:t>
      </w:r>
    </w:p>
    <w:p>
      <w:pPr>
        <w:pStyle w:val="2"/>
        <w:keepNext w:val="0"/>
        <w:keepLines w:val="0"/>
        <w:widowControl/>
        <w:suppressLineNumbers w:val="0"/>
        <w:shd w:val="clear" w:fill="FFFFFF"/>
        <w:spacing w:before="0" w:beforeAutospacing="0" w:after="0" w:afterAutospacing="0" w:line="555" w:lineRule="atLeast"/>
        <w:ind w:left="0" w:right="0" w:firstLine="645"/>
        <w:jc w:val="both"/>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shd w:val="clear" w:fill="FFFFFF"/>
        </w:rPr>
        <w:t>注：以上资料必须齐全，复印件须加盖报价单位公章。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Style w:val="5"/>
          <w:rFonts w:hint="default" w:ascii="仿宋_GB2312" w:hAnsi="宋体" w:eastAsia="仿宋_GB2312" w:cs="仿宋_GB2312"/>
          <w:i w:val="0"/>
          <w:caps w:val="0"/>
          <w:color w:val="000000"/>
          <w:spacing w:val="0"/>
          <w:sz w:val="31"/>
          <w:szCs w:val="31"/>
          <w:bdr w:val="none" w:color="auto" w:sz="0" w:space="0"/>
          <w:shd w:val="clear" w:fill="FFFFFF"/>
        </w:rPr>
        <w:t>四、投标要求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bdr w:val="none" w:color="auto" w:sz="0" w:space="0"/>
          <w:shd w:val="clear" w:fill="FFFFFF"/>
        </w:rPr>
        <w:t>投标人应该按照格式报送3份投标资料、3份项目报价表、3份技术要求应答表，需加盖投标人公章。除投标报价表以外的资质文件必须装订，并加盖骑缝章，不接受未经装订的投标资料，否则视为无效投标。将所有文件密封并在封口处加盖骑缝章，不接受密封袋以外的投标资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Style w:val="5"/>
          <w:rFonts w:hint="default" w:ascii="仿宋_GB2312" w:hAnsi="宋体" w:eastAsia="仿宋_GB2312" w:cs="仿宋_GB2312"/>
          <w:i w:val="0"/>
          <w:caps w:val="0"/>
          <w:color w:val="000000"/>
          <w:spacing w:val="0"/>
          <w:sz w:val="31"/>
          <w:szCs w:val="31"/>
          <w:bdr w:val="none" w:color="auto" w:sz="0" w:space="0"/>
          <w:shd w:val="clear" w:fill="FFFFFF"/>
        </w:rPr>
        <w:t>五、报名方式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bdr w:val="none" w:color="auto" w:sz="0" w:space="0"/>
          <w:shd w:val="clear" w:fill="FFFFFF"/>
        </w:rPr>
        <w:t>供应商需于2020年6月</w:t>
      </w:r>
      <w:r>
        <w:rPr>
          <w:rFonts w:hint="eastAsia" w:ascii="仿宋_GB2312" w:hAnsi="宋体" w:eastAsia="仿宋_GB2312" w:cs="仿宋_GB2312"/>
          <w:i w:val="0"/>
          <w:caps w:val="0"/>
          <w:color w:val="000000"/>
          <w:spacing w:val="0"/>
          <w:sz w:val="31"/>
          <w:szCs w:val="31"/>
          <w:bdr w:val="none" w:color="auto" w:sz="0" w:space="0"/>
          <w:shd w:val="clear" w:fill="FFFFFF"/>
          <w:lang w:val="en-US" w:eastAsia="zh-CN"/>
        </w:rPr>
        <w:t>12</w:t>
      </w:r>
      <w:r>
        <w:rPr>
          <w:rFonts w:hint="default" w:ascii="仿宋_GB2312" w:hAnsi="宋体" w:eastAsia="仿宋_GB2312" w:cs="仿宋_GB2312"/>
          <w:i w:val="0"/>
          <w:caps w:val="0"/>
          <w:color w:val="000000"/>
          <w:spacing w:val="0"/>
          <w:sz w:val="31"/>
          <w:szCs w:val="31"/>
          <w:bdr w:val="none" w:color="auto" w:sz="0" w:space="0"/>
          <w:shd w:val="clear" w:fill="FFFFFF"/>
        </w:rPr>
        <w:t>日前将报名信息发送至邮箱。内容包括公司名称、所投项目名称、联系人、联系电话。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Style w:val="5"/>
          <w:rFonts w:hint="default" w:ascii="仿宋_GB2312" w:hAnsi="宋体" w:eastAsia="仿宋_GB2312" w:cs="仿宋_GB2312"/>
          <w:i w:val="0"/>
          <w:caps w:val="0"/>
          <w:color w:val="000000"/>
          <w:spacing w:val="0"/>
          <w:sz w:val="31"/>
          <w:szCs w:val="31"/>
          <w:bdr w:val="none" w:color="auto" w:sz="0" w:space="0"/>
          <w:shd w:val="clear" w:fill="FFFFFF"/>
        </w:rPr>
        <w:t>六、递交投标文件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5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bdr w:val="none" w:color="auto" w:sz="0" w:space="0"/>
          <w:shd w:val="clear" w:fill="FFFFFF"/>
        </w:rPr>
        <w:t>符合条件且愿意参加投标的单位于2020年6月</w:t>
      </w:r>
      <w:r>
        <w:rPr>
          <w:rFonts w:hint="eastAsia" w:ascii="仿宋_GB2312" w:hAnsi="宋体" w:eastAsia="仿宋_GB2312" w:cs="仿宋_GB2312"/>
          <w:i w:val="0"/>
          <w:caps w:val="0"/>
          <w:color w:val="000000"/>
          <w:spacing w:val="0"/>
          <w:sz w:val="31"/>
          <w:szCs w:val="31"/>
          <w:bdr w:val="none" w:color="auto" w:sz="0" w:space="0"/>
          <w:shd w:val="clear" w:fill="FFFFFF"/>
          <w:lang w:val="en-US" w:eastAsia="zh-CN"/>
        </w:rPr>
        <w:t>12</w:t>
      </w:r>
      <w:r>
        <w:rPr>
          <w:rFonts w:hint="default" w:ascii="仿宋_GB2312" w:hAnsi="宋体" w:eastAsia="仿宋_GB2312" w:cs="仿宋_GB2312"/>
          <w:i w:val="0"/>
          <w:caps w:val="0"/>
          <w:color w:val="000000"/>
          <w:spacing w:val="0"/>
          <w:sz w:val="31"/>
          <w:szCs w:val="31"/>
          <w:bdr w:val="none" w:color="auto" w:sz="0" w:space="0"/>
          <w:shd w:val="clear" w:fill="FFFFFF"/>
        </w:rPr>
        <w:t>日开标时到开标地点递交投标文件。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Style w:val="5"/>
          <w:rFonts w:hint="default" w:ascii="仿宋_GB2312" w:hAnsi="宋体" w:eastAsia="仿宋_GB2312" w:cs="仿宋_GB2312"/>
          <w:i w:val="0"/>
          <w:caps w:val="0"/>
          <w:color w:val="000000"/>
          <w:spacing w:val="0"/>
          <w:sz w:val="31"/>
          <w:szCs w:val="31"/>
          <w:bdr w:val="none" w:color="auto" w:sz="0" w:space="0"/>
          <w:shd w:val="clear" w:fill="FFFFFF"/>
        </w:rPr>
        <w:t>七、开标时间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5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bdr w:val="none" w:color="auto" w:sz="0" w:space="0"/>
          <w:shd w:val="clear" w:fill="FFFFFF"/>
        </w:rPr>
        <w:t>2020年6月</w:t>
      </w:r>
      <w:r>
        <w:rPr>
          <w:rFonts w:hint="eastAsia" w:ascii="仿宋_GB2312" w:hAnsi="宋体" w:eastAsia="仿宋_GB2312" w:cs="仿宋_GB2312"/>
          <w:i w:val="0"/>
          <w:caps w:val="0"/>
          <w:color w:val="000000"/>
          <w:spacing w:val="0"/>
          <w:sz w:val="31"/>
          <w:szCs w:val="31"/>
          <w:bdr w:val="none" w:color="auto" w:sz="0" w:space="0"/>
          <w:shd w:val="clear" w:fill="FFFFFF"/>
          <w:lang w:val="en-US" w:eastAsia="zh-CN"/>
        </w:rPr>
        <w:t>12</w:t>
      </w:r>
      <w:r>
        <w:rPr>
          <w:rFonts w:hint="default" w:ascii="仿宋_GB2312" w:hAnsi="宋体" w:eastAsia="仿宋_GB2312" w:cs="仿宋_GB2312"/>
          <w:i w:val="0"/>
          <w:caps w:val="0"/>
          <w:color w:val="000000"/>
          <w:spacing w:val="0"/>
          <w:sz w:val="31"/>
          <w:szCs w:val="31"/>
          <w:bdr w:val="none" w:color="auto" w:sz="0" w:space="0"/>
          <w:shd w:val="clear" w:fill="FFFFFF"/>
        </w:rPr>
        <w:t>日</w:t>
      </w:r>
      <w:r>
        <w:rPr>
          <w:rFonts w:hint="eastAsia" w:ascii="仿宋_GB2312" w:hAnsi="宋体" w:eastAsia="仿宋_GB2312" w:cs="仿宋_GB2312"/>
          <w:i w:val="0"/>
          <w:caps w:val="0"/>
          <w:color w:val="000000"/>
          <w:spacing w:val="0"/>
          <w:sz w:val="31"/>
          <w:szCs w:val="31"/>
          <w:bdr w:val="none" w:color="auto" w:sz="0" w:space="0"/>
          <w:shd w:val="clear" w:fill="FFFFFF"/>
          <w:lang w:eastAsia="zh-CN"/>
        </w:rPr>
        <w:t>上</w:t>
      </w:r>
      <w:r>
        <w:rPr>
          <w:rFonts w:hint="default" w:ascii="仿宋_GB2312" w:hAnsi="宋体" w:eastAsia="仿宋_GB2312" w:cs="仿宋_GB2312"/>
          <w:i w:val="0"/>
          <w:caps w:val="0"/>
          <w:color w:val="000000"/>
          <w:spacing w:val="0"/>
          <w:sz w:val="31"/>
          <w:szCs w:val="31"/>
          <w:bdr w:val="none" w:color="auto" w:sz="0" w:space="0"/>
          <w:shd w:val="clear" w:fill="FFFFFF"/>
        </w:rPr>
        <w:t>午</w:t>
      </w:r>
      <w:r>
        <w:rPr>
          <w:rFonts w:hint="eastAsia" w:ascii="仿宋_GB2312" w:hAnsi="宋体" w:eastAsia="仿宋_GB2312" w:cs="仿宋_GB2312"/>
          <w:i w:val="0"/>
          <w:caps w:val="0"/>
          <w:color w:val="000000"/>
          <w:spacing w:val="0"/>
          <w:sz w:val="31"/>
          <w:szCs w:val="31"/>
          <w:bdr w:val="none" w:color="auto" w:sz="0" w:space="0"/>
          <w:shd w:val="clear" w:fill="FFFFFF"/>
          <w:lang w:val="en-US" w:eastAsia="zh-CN"/>
        </w:rPr>
        <w:t>9：3</w:t>
      </w:r>
      <w:r>
        <w:rPr>
          <w:rFonts w:hint="default" w:ascii="仿宋_GB2312" w:hAnsi="宋体" w:eastAsia="仿宋_GB2312" w:cs="仿宋_GB2312"/>
          <w:i w:val="0"/>
          <w:caps w:val="0"/>
          <w:color w:val="000000"/>
          <w:spacing w:val="0"/>
          <w:sz w:val="31"/>
          <w:szCs w:val="31"/>
          <w:bdr w:val="none" w:color="auto" w:sz="0" w:space="0"/>
          <w:shd w:val="clear" w:fill="FFFFFF"/>
        </w:rPr>
        <w:t>0（如有变更另行通知）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Style w:val="5"/>
          <w:rFonts w:hint="default" w:ascii="仿宋_GB2312" w:hAnsi="宋体" w:eastAsia="仿宋_GB2312" w:cs="仿宋_GB2312"/>
          <w:i w:val="0"/>
          <w:caps w:val="0"/>
          <w:color w:val="000000"/>
          <w:spacing w:val="0"/>
          <w:sz w:val="31"/>
          <w:szCs w:val="31"/>
          <w:bdr w:val="none" w:color="auto" w:sz="0" w:space="0"/>
          <w:shd w:val="clear" w:fill="FFFFFF"/>
        </w:rPr>
        <w:t>八、开标地点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5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bdr w:val="none" w:color="auto" w:sz="0" w:space="0"/>
          <w:shd w:val="clear" w:fill="FFFFFF"/>
        </w:rPr>
        <w:t>内江市第一人民医院新区医院全科楼5楼会议室（如有变更另行通知）。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Style w:val="5"/>
          <w:rFonts w:hint="default" w:ascii="仿宋_GB2312" w:hAnsi="宋体" w:eastAsia="仿宋_GB2312" w:cs="仿宋_GB2312"/>
          <w:i w:val="0"/>
          <w:caps w:val="0"/>
          <w:color w:val="000000"/>
          <w:spacing w:val="0"/>
          <w:sz w:val="31"/>
          <w:szCs w:val="31"/>
          <w:bdr w:val="none" w:color="auto" w:sz="0" w:space="0"/>
          <w:shd w:val="clear" w:fill="FFFFFF"/>
        </w:rPr>
        <w:t>九、评标标准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5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bdr w:val="none" w:color="auto" w:sz="0" w:space="0"/>
          <w:shd w:val="clear" w:fill="FFFFFF"/>
        </w:rPr>
        <w:t>根据产品报价以及服务质量、服务承诺等进行综合评比。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eastAsia" w:ascii="宋体" w:hAnsi="宋体" w:eastAsia="宋体" w:cs="宋体"/>
          <w:i w:val="0"/>
          <w:caps w:val="0"/>
          <w:color w:val="000000"/>
          <w:spacing w:val="0"/>
          <w:sz w:val="18"/>
          <w:szCs w:val="18"/>
        </w:rPr>
      </w:pPr>
      <w:r>
        <w:rPr>
          <w:rStyle w:val="5"/>
          <w:rFonts w:hint="default" w:ascii="仿宋_GB2312" w:hAnsi="宋体" w:eastAsia="仿宋_GB2312" w:cs="仿宋_GB2312"/>
          <w:i w:val="0"/>
          <w:caps w:val="0"/>
          <w:color w:val="000000"/>
          <w:spacing w:val="0"/>
          <w:sz w:val="31"/>
          <w:szCs w:val="31"/>
          <w:bdr w:val="none" w:color="auto" w:sz="0" w:space="0"/>
          <w:shd w:val="clear" w:fill="FFFFFF"/>
        </w:rPr>
        <w:t>十、联系方式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5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bdr w:val="none" w:color="auto" w:sz="0" w:space="0"/>
          <w:shd w:val="clear" w:fill="FFFFFF"/>
        </w:rPr>
        <w:t>联系地址：内江市市中区汉安大道西段1866号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5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bdr w:val="none" w:color="auto" w:sz="0" w:space="0"/>
          <w:shd w:val="clear" w:fill="FFFFFF"/>
        </w:rPr>
        <w:t>邮    编：641001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5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bdr w:val="none" w:color="auto" w:sz="0" w:space="0"/>
          <w:shd w:val="clear" w:fill="FFFFFF"/>
        </w:rPr>
        <w:t>邮   箱：njyyjss@163.com</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55"/>
        <w:rPr>
          <w:rFonts w:hint="eastAsia" w:ascii="宋体" w:hAnsi="宋体" w:eastAsia="宋体" w:cs="宋体"/>
          <w:i w:val="0"/>
          <w:caps w:val="0"/>
          <w:color w:val="000000"/>
          <w:spacing w:val="0"/>
          <w:sz w:val="18"/>
          <w:szCs w:val="18"/>
        </w:rPr>
      </w:pPr>
      <w:r>
        <w:rPr>
          <w:rFonts w:hint="default" w:ascii="仿宋_GB2312" w:hAnsi="宋体" w:eastAsia="仿宋_GB2312" w:cs="仿宋_GB2312"/>
          <w:i w:val="0"/>
          <w:caps w:val="0"/>
          <w:color w:val="000000"/>
          <w:spacing w:val="0"/>
          <w:sz w:val="31"/>
          <w:szCs w:val="31"/>
          <w:bdr w:val="none" w:color="auto" w:sz="0" w:space="0"/>
          <w:shd w:val="clear" w:fill="FFFFFF"/>
        </w:rPr>
        <w:t>联 系 人：赖先生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55"/>
        <w:rPr>
          <w:rFonts w:hint="default" w:ascii="仿宋_GB2312" w:hAnsi="宋体" w:eastAsia="仿宋_GB2312" w:cs="仿宋_GB2312"/>
          <w:i w:val="0"/>
          <w:caps w:val="0"/>
          <w:color w:val="000000"/>
          <w:spacing w:val="0"/>
          <w:sz w:val="31"/>
          <w:szCs w:val="31"/>
          <w:bdr w:val="none" w:color="auto" w:sz="0" w:space="0"/>
          <w:shd w:val="clear" w:fill="FFFFFF"/>
        </w:rPr>
      </w:pPr>
      <w:r>
        <w:rPr>
          <w:rFonts w:hint="default" w:ascii="仿宋_GB2312" w:hAnsi="宋体" w:eastAsia="仿宋_GB2312" w:cs="仿宋_GB2312"/>
          <w:i w:val="0"/>
          <w:caps w:val="0"/>
          <w:color w:val="000000"/>
          <w:spacing w:val="0"/>
          <w:sz w:val="31"/>
          <w:szCs w:val="31"/>
          <w:bdr w:val="none" w:color="auto" w:sz="0" w:space="0"/>
          <w:shd w:val="clear" w:fill="FFFFFF"/>
        </w:rPr>
        <w:t>联系电话：0832-2155638</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55"/>
        <w:rPr>
          <w:rFonts w:hint="default" w:ascii="仿宋_GB2312" w:hAnsi="宋体" w:eastAsia="仿宋_GB2312" w:cs="仿宋_GB2312"/>
          <w:i w:val="0"/>
          <w:caps w:val="0"/>
          <w:color w:val="000000"/>
          <w:spacing w:val="0"/>
          <w:sz w:val="31"/>
          <w:szCs w:val="31"/>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550" w:firstLineChars="1762"/>
        <w:rPr>
          <w:rFonts w:hint="eastAsia" w:ascii="仿宋_GB2312" w:hAnsi="宋体" w:eastAsia="仿宋_GB2312" w:cs="仿宋_GB2312"/>
          <w:i w:val="0"/>
          <w:caps w:val="0"/>
          <w:color w:val="000000"/>
          <w:spacing w:val="0"/>
          <w:sz w:val="31"/>
          <w:szCs w:val="31"/>
          <w:bdr w:val="none" w:color="auto" w:sz="0" w:space="0"/>
          <w:shd w:val="clear" w:fill="FFFFFF"/>
          <w:lang w:eastAsia="zh-CN"/>
        </w:rPr>
      </w:pPr>
      <w:r>
        <w:rPr>
          <w:rFonts w:hint="eastAsia" w:ascii="仿宋_GB2312" w:hAnsi="宋体" w:eastAsia="仿宋_GB2312" w:cs="仿宋_GB2312"/>
          <w:i w:val="0"/>
          <w:caps w:val="0"/>
          <w:color w:val="000000"/>
          <w:spacing w:val="0"/>
          <w:sz w:val="31"/>
          <w:szCs w:val="31"/>
          <w:bdr w:val="none" w:color="auto" w:sz="0" w:space="0"/>
          <w:shd w:val="clear" w:fill="FFFFFF"/>
          <w:lang w:eastAsia="zh-CN"/>
        </w:rPr>
        <w:t>内江市第一人民医院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865" w:firstLineChars="1862"/>
        <w:rPr>
          <w:rFonts w:hint="eastAsia" w:ascii="仿宋_GB2312" w:hAnsi="宋体" w:eastAsia="仿宋_GB2312" w:cs="仿宋_GB2312"/>
          <w:i w:val="0"/>
          <w:caps w:val="0"/>
          <w:color w:val="000000"/>
          <w:spacing w:val="0"/>
          <w:sz w:val="31"/>
          <w:szCs w:val="31"/>
          <w:bdr w:val="none" w:color="auto" w:sz="0" w:space="0"/>
          <w:shd w:val="clear" w:fill="FFFFFF"/>
          <w:lang w:val="en-US" w:eastAsia="zh-CN"/>
        </w:rPr>
      </w:pPr>
      <w:r>
        <w:rPr>
          <w:rFonts w:hint="eastAsia" w:ascii="仿宋_GB2312" w:hAnsi="宋体" w:eastAsia="仿宋_GB2312" w:cs="仿宋_GB2312"/>
          <w:i w:val="0"/>
          <w:caps w:val="0"/>
          <w:color w:val="000000"/>
          <w:spacing w:val="0"/>
          <w:sz w:val="31"/>
          <w:szCs w:val="31"/>
          <w:bdr w:val="none" w:color="auto" w:sz="0" w:space="0"/>
          <w:shd w:val="clear" w:fill="FFFFFF"/>
          <w:lang w:val="en-US" w:eastAsia="zh-CN"/>
        </w:rPr>
        <w:t>2020年6月4日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5550" w:firstLineChars="1762"/>
        <w:rPr>
          <w:rFonts w:hint="default" w:ascii="仿宋_GB2312" w:hAnsi="宋体" w:eastAsia="仿宋_GB2312" w:cs="仿宋_GB2312"/>
          <w:i w:val="0"/>
          <w:caps w:val="0"/>
          <w:color w:val="000000"/>
          <w:spacing w:val="0"/>
          <w:sz w:val="31"/>
          <w:szCs w:val="31"/>
          <w:bdr w:val="none" w:color="auto" w:sz="0" w:space="0"/>
          <w:shd w:val="clear" w:fill="FFFFFF"/>
          <w:lang w:val="en-US" w:eastAsia="zh-CN"/>
        </w:rPr>
      </w:pP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E72984"/>
    <w:rsid w:val="52AC3A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nj</dc:creator>
  <cp:lastModifiedBy>蔻蔻</cp:lastModifiedBy>
  <dcterms:modified xsi:type="dcterms:W3CDTF">2020-06-04T06:59:34Z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