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horzAnchor="margin" w:tblpY="690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37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3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37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投标</w:t>
            </w:r>
            <w:r>
              <w:rPr>
                <w:rFonts w:hint="eastAsia" w:ascii="宋体" w:hAnsi="宋体" w:cs="宋体"/>
                <w:kern w:val="0"/>
                <w:szCs w:val="21"/>
              </w:rPr>
              <w:t>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37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。</w:t>
            </w:r>
          </w:p>
          <w:p>
            <w:pPr>
              <w:pStyle w:val="3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33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Cs w:val="21"/>
              </w:rPr>
              <w:t>全符合竞选文件要求没有负偏离得</w:t>
            </w:r>
            <w:r>
              <w:rPr>
                <w:rFonts w:ascii="宋体" w:hAnsi="宋体" w:cs="宋体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交货实施方案和售后服务10%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根据竞选人承诺的交货实施方案和响应时间、质量保证范围，售后服务体系等进行综合分析评分：</w:t>
            </w:r>
          </w:p>
          <w:p>
            <w:pPr>
              <w:adjustRightInd w:val="0"/>
              <w:spacing w:line="240" w:lineRule="atLeast"/>
              <w:rPr>
                <w:rFonts w:hAnsi="宋体"/>
              </w:rPr>
            </w:pPr>
            <w:r>
              <w:rPr>
                <w:rFonts w:hint="eastAsia" w:hAnsi="宋体"/>
              </w:rPr>
              <w:t>1、有专人负责售后服务。2、承诺任何问题在接到电话后立即响应，并在24小时内处理。3、承诺产品质量问题无条件退货。承诺产品验收前，无条件破损退换。4、质保期为产品有效期内，无近效期产品。5、运输过程需符合国家药品监督管理局的相关要求，并按买方要求安排送货。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hAnsi="宋体"/>
              </w:rPr>
              <w:t>以上项目符合一项得2分，最多得10分。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以竞选文件为准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样品质量20%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产品质量：现场查看样品的颜色、质感、性能和观感（色泽均匀、不能破损、色差、污渍等现象）进行综合评审。最高得</w:t>
            </w:r>
            <w:r>
              <w:rPr>
                <w:rFonts w:ascii="宋体" w:hAnsi="宋体" w:cs="宋体"/>
                <w:szCs w:val="21"/>
              </w:rPr>
              <w:t>20</w:t>
            </w:r>
            <w:r>
              <w:rPr>
                <w:rFonts w:hint="eastAsia" w:ascii="宋体" w:hAnsi="宋体" w:cs="宋体"/>
                <w:szCs w:val="21"/>
              </w:rPr>
              <w:t>分，一项不足扣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Cs w:val="21"/>
              </w:rPr>
              <w:t>分，未提供的不得分。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以样品为准</w:t>
            </w:r>
          </w:p>
        </w:tc>
        <w:tc>
          <w:tcPr>
            <w:tcW w:w="5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F54"/>
    <w:rsid w:val="002867F5"/>
    <w:rsid w:val="002C0085"/>
    <w:rsid w:val="00323449"/>
    <w:rsid w:val="003E468E"/>
    <w:rsid w:val="003F3C2F"/>
    <w:rsid w:val="004B06AB"/>
    <w:rsid w:val="0050328A"/>
    <w:rsid w:val="00582AFE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2750526C"/>
    <w:rsid w:val="50D3361B"/>
    <w:rsid w:val="62C16E6E"/>
    <w:rsid w:val="7846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link w:val="9"/>
    <w:qFormat/>
    <w:uiPriority w:val="99"/>
    <w:pPr>
      <w:jc w:val="left"/>
    </w:pPr>
    <w:rPr>
      <w:rFonts w:asciiTheme="minorHAnsi" w:hAnsiTheme="minorHAnsi" w:cstheme="minorBidi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文字 Char"/>
    <w:link w:val="3"/>
    <w:qFormat/>
    <w:uiPriority w:val="99"/>
    <w:rPr>
      <w:rFonts w:eastAsia="宋体"/>
      <w:szCs w:val="24"/>
    </w:rPr>
  </w:style>
  <w:style w:type="character" w:customStyle="1" w:styleId="10">
    <w:name w:val="批注文字 Char1"/>
    <w:basedOn w:val="8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">
    <w:name w:val="正文文本 Char"/>
    <w:basedOn w:val="8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">
    <w:name w:val="页眉 Char"/>
    <w:basedOn w:val="8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531</Characters>
  <Lines>4</Lines>
  <Paragraphs>1</Paragraphs>
  <TotalTime>67</TotalTime>
  <ScaleCrop>false</ScaleCrop>
  <LinksUpToDate>false</LinksUpToDate>
  <CharactersWithSpaces>622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adminstrator</cp:lastModifiedBy>
  <cp:lastPrinted>2020-07-28T06:42:00Z</cp:lastPrinted>
  <dcterms:modified xsi:type="dcterms:W3CDTF">2020-08-04T03:00:12Z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