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5、运输过程需符合国家药品监督管理局的相关要求，并按买方要求安排送货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</w:t>
            </w:r>
            <w:r>
              <w:rPr>
                <w:rFonts w:hint="eastAsia" w:hAnsi="宋体"/>
                <w:lang w:val="en-US" w:eastAsia="zh-CN"/>
              </w:rPr>
              <w:t>3</w:t>
            </w:r>
            <w:r>
              <w:rPr>
                <w:rFonts w:hint="eastAsia" w:hAnsi="宋体"/>
              </w:rPr>
              <w:t>分，最多得</w:t>
            </w:r>
            <w:r>
              <w:rPr>
                <w:rFonts w:hint="eastAsia" w:hAnsi="宋体"/>
                <w:lang w:val="en-US" w:eastAsia="zh-CN"/>
              </w:rPr>
              <w:t>15</w:t>
            </w:r>
            <w:r>
              <w:rPr>
                <w:rFonts w:hint="eastAsia" w:hAnsi="宋体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15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ind w:firstLine="2891" w:firstLineChars="800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  <w:lang w:val="en-US" w:eastAsia="zh-CN"/>
        </w:rPr>
        <w:t>(包四）</w:t>
      </w:r>
    </w:p>
    <w:p>
      <w:pPr>
        <w:jc w:val="both"/>
        <w:rPr>
          <w:rFonts w:hint="eastAsia"/>
          <w:b/>
          <w:sz w:val="36"/>
          <w:szCs w:val="36"/>
          <w:lang w:val="en-US" w:eastAsia="zh-CN"/>
        </w:rPr>
      </w:pPr>
    </w:p>
    <w:p>
      <w:pPr>
        <w:pStyle w:val="2"/>
        <w:rPr>
          <w:rFonts w:hint="default"/>
          <w:b/>
          <w:sz w:val="36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5FA57068"/>
    <w:rsid w:val="63D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9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文字 Char"/>
    <w:link w:val="3"/>
    <w:qFormat/>
    <w:uiPriority w:val="99"/>
    <w:rPr>
      <w:rFonts w:eastAsia="宋体"/>
      <w:szCs w:val="24"/>
    </w:rPr>
  </w:style>
  <w:style w:type="character" w:customStyle="1" w:styleId="10">
    <w:name w:val="批注文字 Char1"/>
    <w:basedOn w:val="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7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0</TotalTime>
  <ScaleCrop>false</ScaleCrop>
  <LinksUpToDate>false</LinksUpToDate>
  <CharactersWithSpaces>597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Administrator</cp:lastModifiedBy>
  <cp:lastPrinted>2020-07-28T06:42:00Z</cp:lastPrinted>
  <dcterms:modified xsi:type="dcterms:W3CDTF">2020-08-27T12:14:22Z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