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jc w:val="center"/>
        <w:textAlignment w:val="center"/>
        <w:outlineLvl w:val="0"/>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内江市第一人民医院</w:t>
      </w:r>
    </w:p>
    <w:p>
      <w:pPr>
        <w:spacing w:line="460" w:lineRule="exact"/>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b/>
          <w:bCs/>
          <w:kern w:val="0"/>
          <w:sz w:val="44"/>
          <w:szCs w:val="44"/>
        </w:rPr>
        <w:t>一批医疗器械院内竞选公告</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一、采购概况</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1.采购单位：内江市第一人民医院。</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val="zh-CN"/>
        </w:rPr>
        <w:t>2.采购项目名称：</w:t>
      </w:r>
      <w:r>
        <w:rPr>
          <w:rFonts w:hint="eastAsia" w:ascii="仿宋_GB2312" w:hAnsi="仿宋_GB2312" w:eastAsia="仿宋_GB2312" w:cs="仿宋_GB2312"/>
          <w:color w:val="000000"/>
          <w:sz w:val="28"/>
          <w:szCs w:val="28"/>
        </w:rPr>
        <w:t>一批医疗器械。</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Cs/>
          <w:color w:val="000000"/>
          <w:kern w:val="0"/>
          <w:sz w:val="28"/>
          <w:szCs w:val="28"/>
          <w:lang w:val="zh-CN"/>
        </w:rPr>
        <w:t>3.采购标段：本项目共3个包。</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二、采购项目内容和要求</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包一：钼锝核素测量仪（单一来源）</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用途：用于临床核素诊断和治疗时QC等质量要求，和操作规范等监管要求。</w:t>
      </w:r>
    </w:p>
    <w:p>
      <w:pPr>
        <w:keepNext w:val="0"/>
        <w:keepLines w:val="0"/>
        <w:pageBreakBefore w:val="0"/>
        <w:widowControl/>
        <w:kinsoku/>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技术要求:</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1.1具备精确测量钼99-锝99m、I-131、F-18等多种核素比活度并内置多种核素相关符号和半衰期。</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1.2包含插件功能、播放功能、剂量校准、质量控制、自我诊断等以上功能。</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1.3电离室</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1.3.1类型：薄壁深井型</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1.3.2填充气体：12个大气压的超纯氩</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1.4测量范围</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1.4.1类型：自动测距</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1.4.2活动：≤250 GBq (6 Ci),</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1.4.3分辨率：0.001 MBq (0.01 μCi),</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1.5显示屏</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1.5.1类型：8英寸VGA彩色液晶触摸屏显示器</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1.5.2格式：直读Bq/Ci</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1.5.3Bq/Ci单位显示可选</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1.5.4显示值：核素名称（符号，质量数），校准数</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1.5.5精度：优于±2％</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1.5.6线性度：±2％</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1.5.7响应时间：在2秒，4至16秒（非常低的活性样品）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 xml:space="preserve">1.5.8偏置电压：500V+ </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1.6测量重复性</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1.6.1重复性：24小时内±1％，在此期间连续地校准所有的时间的总体精度</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1.6.2精度决定于：</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1.6.3准的具体核素和示例配置；</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1.6.4用于静电计校准的标准源准确度。</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1.7测试</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1.7.1诊断：计划全面测试，系统存储器</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1.7.2日报：自动调零、自动背景调整、数据检查、准确性等。</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1.7.3增强：线性、几何、条形QC。</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1.8核数据</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1.8.1核素键：≥28个可编程键</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1.8.2系统内存：≥80核素（CAL数量和半衰期）</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1.9标准源数据</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1.9.1系统内存：CO57，钴60，钡133，铯137的标准源</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1.10钼-99测定</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1.10.1方法：滤罐或CAPMAC</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1.10.2测量值：Mo-99 洗提, Tc-99m, Tc-99m/Mo-99 比率</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1.11PC端口</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1.11.1接口：接口为RS-232和USB</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1.11.2兼容性：标准核医学管理系统</w:t>
      </w:r>
    </w:p>
    <w:p>
      <w:pPr>
        <w:keepNext w:val="0"/>
        <w:keepLines w:val="0"/>
        <w:pageBreakBefore w:val="0"/>
        <w:widowControl/>
        <w:kinsoku/>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1.12限进口产品参与竞选</w:t>
      </w:r>
    </w:p>
    <w:p>
      <w:pPr>
        <w:keepNext w:val="0"/>
        <w:keepLines w:val="0"/>
        <w:pageBreakBefore w:val="0"/>
        <w:widowControl/>
        <w:kinsoku/>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bCs/>
          <w:color w:val="000000"/>
          <w:kern w:val="0"/>
          <w:sz w:val="28"/>
          <w:szCs w:val="28"/>
          <w:lang w:val="zh-CN"/>
        </w:rPr>
        <w:t>最高限价：150000元/台</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包二：医用胶原蛋白和胶原蛋白贴</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医用胶原蛋白</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用途:</w:t>
      </w:r>
      <w:r>
        <w:rPr>
          <w:rFonts w:hint="eastAsia" w:ascii="仿宋_GB2312" w:hAnsi="仿宋_GB2312" w:eastAsia="仿宋_GB2312" w:cs="仿宋_GB2312"/>
          <w:sz w:val="28"/>
          <w:szCs w:val="28"/>
        </w:rPr>
        <w:t>用于痤疮引起的皮肤红斑、丘疹、脓疱、黑头粉刺、白头粉刺、红血丝及皮肤萎缩变薄等多形性皮损症状。</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适用范围:</w:t>
      </w:r>
      <w:r>
        <w:rPr>
          <w:rFonts w:hint="eastAsia" w:ascii="仿宋_GB2312" w:hAnsi="仿宋_GB2312" w:eastAsia="仿宋_GB2312" w:cs="仿宋_GB2312"/>
          <w:sz w:val="28"/>
          <w:szCs w:val="28"/>
        </w:rPr>
        <w:t>用于面部痤疮的辅助治疗及皮肤屏障功能损伤引起的皮肤干燥脱屑及其他皮肤损伤的修复。</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1、 结构组成:</w:t>
      </w:r>
      <w:r>
        <w:rPr>
          <w:rFonts w:hint="eastAsia" w:ascii="仿宋_GB2312" w:hAnsi="仿宋_GB2312" w:eastAsia="仿宋_GB2312" w:cs="仿宋_GB2312"/>
          <w:sz w:val="28"/>
          <w:szCs w:val="28"/>
        </w:rPr>
        <w:t xml:space="preserve"> 主要材料为重组人源胶原蛋白，辅以透明质酸钠、甘油和少量防腐剂（尼泊金酯类和苯氧乙醇）。包装材料为医用聚乙烯（或聚丙烯）瓶、玻璃瓶、树脂或铝管。</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2、外观要求: 应无异物、污渍。</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3、产品规格: ≤30g</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4、资质要求: 提供医疗器械备案凭证。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5、其它要求：提供检验报告。</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6、商务要求：竞选人具有生产厂家授权。</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7、限国产产品参与竞选。</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bCs/>
          <w:kern w:val="0"/>
          <w:sz w:val="28"/>
          <w:szCs w:val="28"/>
        </w:rPr>
        <w:t>最高限价：340元/个</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胶原蛋白贴</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w:t>
      </w:r>
      <w:r>
        <w:rPr>
          <w:rFonts w:hint="eastAsia" w:ascii="仿宋_GB2312" w:hAnsi="仿宋_GB2312" w:eastAsia="仿宋_GB2312" w:cs="仿宋_GB2312"/>
          <w:sz w:val="28"/>
          <w:szCs w:val="28"/>
        </w:rPr>
        <w:t>用于物理治疗术后皮肤损伤的修复</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适用范围:</w:t>
      </w:r>
      <w:r>
        <w:rPr>
          <w:rFonts w:hint="eastAsia" w:ascii="仿宋_GB2312" w:hAnsi="仿宋_GB2312" w:eastAsia="仿宋_GB2312" w:cs="仿宋_GB2312"/>
          <w:sz w:val="28"/>
          <w:szCs w:val="28"/>
        </w:rPr>
        <w:t>修复皮肤屏障功能、增加皮肤含水量。</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1、结构组成:</w:t>
      </w:r>
      <w:r>
        <w:rPr>
          <w:rFonts w:hint="eastAsia" w:ascii="仿宋_GB2312" w:hAnsi="仿宋_GB2312" w:eastAsia="仿宋_GB2312" w:cs="仿宋_GB2312"/>
          <w:sz w:val="28"/>
          <w:szCs w:val="28"/>
        </w:rPr>
        <w:t>主要由大分子重组人源胶原蛋白（Ⅲ型）溶液，辅以透明质酸钠、乳酸钠、少量防腐剂和蚕丝布组成</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2、外观要求:</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表面光洁，字迹</w:t>
      </w:r>
      <w:r>
        <w:rPr>
          <w:rFonts w:hint="eastAsia" w:ascii="仿宋_GB2312" w:hAnsi="仿宋_GB2312" w:eastAsia="仿宋_GB2312" w:cs="仿宋_GB2312"/>
          <w:sz w:val="28"/>
          <w:szCs w:val="28"/>
        </w:rPr>
        <w:t>清晰、完整、易于识别。</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3、产品规格: ≥25g</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4、资质要求: 提供医疗器械备案凭证。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5、其它要求: 提供检验报告。</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6、商务要求：竞选人具有生产厂家授权。</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7、限国产产品参与竞选。</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bCs/>
          <w:kern w:val="0"/>
          <w:sz w:val="28"/>
          <w:szCs w:val="28"/>
        </w:rPr>
        <w:t>最高限价：198元/张</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包三：一次性使用手术衣和医用一次性防护服及医用隔离衣</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sz w:val="28"/>
          <w:szCs w:val="28"/>
          <w:lang w:val="zh-CN"/>
        </w:rPr>
        <w:t>（一）一次性使用手术衣（提供1份样品）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用途:用于降低医务人员接触病原微生物的风险,同时也能降低病原微生物在医务人员与患者之间相互传播的风险,是手术操作中无菌区域的安全屏障。</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适用范围:适用于手术操作,病员处理;公共场所防疫检查;病毒污染区内消毒;也可广泛应用于军事、医疗、化工、环保、交通、防疫等领域。</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 符合：YY/T 0506.3-2005标准</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1.2结构组成：手术衣由热压而成，由前身、后身、袖子、系带组成</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1.3一次性使用手术衣：偏差</w:t>
      </w:r>
      <w:r>
        <w:rPr>
          <w:rFonts w:hint="eastAsia" w:ascii="仿宋_GB2312" w:hAnsi="仿宋_GB2312" w:eastAsia="仿宋_GB2312" w:cs="仿宋_GB2312"/>
          <w:sz w:val="28"/>
          <w:szCs w:val="28"/>
        </w:rPr>
        <w:t>±10%</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1.4手术衣应无霉斑、无破损、无污渍、无杂质等现象。经缝制的手术衣应针码均匀、平直、无折皱、无跳针、开线、漏缝现象。经热压的手术衣应热压均匀、平直、无折皱、无漏压现象。</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1.5缝制针距：每10cm内≥24针。</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1.6液体阻隔</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抗渗水性:≥20；透湿量:≥2.8；落絮: ≤4；洁净度: ≤2</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1.7胀破强度:≥40</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1.8断裂强度</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纵向断裂强力≥13N，横向断裂强力≥8N。</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1.9拉伸强度:≥20</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1.10提供检测报告</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rPr>
        <w:t>（二）</w:t>
      </w:r>
      <w:r>
        <w:rPr>
          <w:rFonts w:hint="eastAsia" w:ascii="仿宋_GB2312" w:hAnsi="仿宋_GB2312" w:eastAsia="仿宋_GB2312" w:cs="仿宋_GB2312"/>
          <w:b/>
          <w:sz w:val="28"/>
          <w:szCs w:val="28"/>
          <w:lang w:val="zh-CN"/>
        </w:rPr>
        <w:t>医用一次性防护服（提供1份样品）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医务人员(医生、护士、公共卫生人员、清洁人员等)及进入特定医药卫生区域的人群(如患者、医院探视人员、进入感染区域的人员等)所使用的防护性服装。其作用是隔离病菌、有害超细粉尘、酸碱性溶液、电磁辐射等,保证人员的安全和保持坏境清洁。</w:t>
      </w:r>
    </w:p>
    <w:p>
      <w:pPr>
        <w:pStyle w:val="2"/>
        <w:keepNext w:val="0"/>
        <w:keepLines w:val="0"/>
        <w:pageBreakBefore w:val="0"/>
        <w:kinsoku/>
        <w:overflowPunct/>
        <w:topLinePunct w:val="0"/>
        <w:bidi w:val="0"/>
        <w:snapToGrid/>
        <w:spacing w:after="0" w:line="560" w:lineRule="exact"/>
        <w:ind w:left="1890" w:leftChars="300" w:hanging="1260" w:hangingChars="45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适用范围:适用于医务人员在工作时接触到的具有潜在感染性</w:t>
      </w:r>
    </w:p>
    <w:p>
      <w:pPr>
        <w:pStyle w:val="2"/>
        <w:keepNext w:val="0"/>
        <w:keepLines w:val="0"/>
        <w:pageBreakBefore w:val="0"/>
        <w:kinsoku/>
        <w:overflowPunct/>
        <w:topLinePunct w:val="0"/>
        <w:bidi w:val="0"/>
        <w:snapToGrid/>
        <w:spacing w:after="0" w:line="56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的患者血液、体液、分泌物等提供阻隔、防护用。</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w:t>
      </w:r>
      <w:r>
        <w:rPr>
          <w:rFonts w:hint="eastAsia" w:ascii="仿宋_GB2312" w:hAnsi="仿宋_GB2312" w:eastAsia="仿宋_GB2312" w:cs="仿宋_GB2312"/>
          <w:color w:val="333333"/>
          <w:sz w:val="28"/>
          <w:szCs w:val="28"/>
          <w:shd w:val="clear" w:color="auto" w:fill="FFFFFF"/>
        </w:rPr>
        <w:t>符合国家标准GB19082-2009</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1.2结构组成：防护服的结构应合理，穿脱方便，结合部位严密；袖口、脚踝口采用弹性收口，帽子面部收口及腰部采用弹性收口、拉绳收口或搭扣。</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1.3防护服：偏差</w:t>
      </w:r>
      <w:r>
        <w:rPr>
          <w:rFonts w:hint="eastAsia" w:ascii="仿宋_GB2312" w:hAnsi="仿宋_GB2312" w:eastAsia="仿宋_GB2312" w:cs="仿宋_GB2312"/>
          <w:sz w:val="28"/>
          <w:szCs w:val="28"/>
        </w:rPr>
        <w:t>±10%</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防护服应干燥、清洁、无霉斑，表面不允许有粘连、裂缝、空洞等缺陷。针缝的针眼应密封处理。连接部位可采用针缝、粘合或热合等加工方式，粘合或热合等加工处理后的部位，应平针、密封，无气泡。装有拉链的防护服拉链不能外露，拉头应能自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1.5缝制针距：每3cm应为8针-14针，线迹应均匀、平直，不得有跳针。</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1.6液体阻隔</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抗渗水性:≥1.67kPa(17cmH20)；透湿量:≥2500g/(m•24h)；抗合成血液穿透性:≥1.75kPa；表面抗湿性:≥3级的要求。</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1.7具有阻燃性能的防护服应符合下列要求</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损毁长度≤200mm；续燃时间≤15s；阴然时间≤10s；过滤效率≥70%。</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1.8断裂强力：防护服关键部位材料的断裂强力≥45N。</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1.9断裂伸长率：防护服关键部位材料的断裂伸长率≥15%。</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1.10</w:t>
      </w:r>
      <w:r>
        <w:rPr>
          <w:rFonts w:hint="eastAsia" w:ascii="仿宋_GB2312" w:hAnsi="仿宋_GB2312" w:eastAsia="仿宋_GB2312" w:cs="仿宋_GB2312"/>
          <w:sz w:val="28"/>
          <w:szCs w:val="28"/>
          <w:lang w:val="zh-CN"/>
        </w:rPr>
        <w:t>提供检测报告</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rPr>
        <w:t>（三）</w:t>
      </w:r>
      <w:r>
        <w:rPr>
          <w:rFonts w:hint="eastAsia" w:ascii="仿宋_GB2312" w:hAnsi="仿宋_GB2312" w:eastAsia="仿宋_GB2312" w:cs="仿宋_GB2312"/>
          <w:b/>
          <w:sz w:val="28"/>
          <w:szCs w:val="28"/>
          <w:lang w:val="zh-CN"/>
        </w:rPr>
        <w:t>医用隔离衣（提供1份样品）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1.1符合：YY/T0506-2016标准</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 结构组成 ：连体式，采用非制造布为主要原料，经裁剪、缝纫/热合制成。由连帽上衣、裤子组成，袖口、脚踝口为弹性收口，腰部采用弹性收口。</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1.3医用隔离衣：偏差</w:t>
      </w:r>
      <w:r>
        <w:rPr>
          <w:rFonts w:hint="eastAsia" w:ascii="仿宋_GB2312" w:hAnsi="仿宋_GB2312" w:eastAsia="仿宋_GB2312" w:cs="仿宋_GB2312"/>
          <w:sz w:val="28"/>
          <w:szCs w:val="28"/>
        </w:rPr>
        <w:t>±15%</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1.4.隔离衣应干燥、洁净、无霉斑，表面不应由粘连、裂缝、孔洞等缺陷。 连接部位采用针缝或热合加工方式。针缝的线迹应均匀、平直，不得有跳针。热合加工处理后的部位应平整、无开裂。 </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1.5缝制针距：每30㎜不少于 6针。 </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1.6腰带承受拉力:≥5N。 </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1.7抗湿性：隔离衣关键部位材料的外侧面沾水等级≥3级。 </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1.8断裂强力：隔离衣关键部位材料的断裂强力≥30N。 </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1.9断裂伸长率：隔离衣关键部位材料的断裂伸长率≥10%。</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1.10提供检测报告</w:t>
      </w:r>
    </w:p>
    <w:p>
      <w:pPr>
        <w:keepNext w:val="0"/>
        <w:keepLines w:val="0"/>
        <w:pageBreakBefore w:val="0"/>
        <w:kinsoku/>
        <w:overflowPunct/>
        <w:topLinePunct w:val="0"/>
        <w:bidi w:val="0"/>
        <w:snapToGrid/>
        <w:spacing w:line="560" w:lineRule="exact"/>
        <w:ind w:firstLine="562" w:firstLineChars="20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三、参加本次竞选的企业应具备下列条件</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2、挂网产品竞选企业具有四川省医用耗材集中挂网阳光采购系统配送企业资格。</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4、采购公告发布之日前三年内在经营活动中无行贿犯罪等重大违法记录。</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注：以上资料必须齐全，复印件须加盖竞选企业公章。</w:t>
      </w:r>
    </w:p>
    <w:p>
      <w:pPr>
        <w:keepNext w:val="0"/>
        <w:keepLines w:val="0"/>
        <w:pageBreakBefore w:val="0"/>
        <w:kinsoku/>
        <w:overflowPunct/>
        <w:topLinePunct w:val="0"/>
        <w:bidi w:val="0"/>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四、竞选要求</w:t>
      </w:r>
    </w:p>
    <w:p>
      <w:pPr>
        <w:keepNext w:val="0"/>
        <w:keepLines w:val="0"/>
        <w:pageBreakBefore w:val="0"/>
        <w:kinsoku/>
        <w:overflowPunct/>
        <w:topLinePunct w:val="0"/>
        <w:bidi w:val="0"/>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color w:val="000000"/>
          <w:kern w:val="0"/>
          <w:sz w:val="28"/>
          <w:szCs w:val="28"/>
        </w:rPr>
        <w:t>1、供应商应报送2份竞选资料（须加盖公章）、2份项目报价表（须加盖公章）、2份技术要求应答表（需加盖公章）、包三项目提供1份样品。除项目报价表以外的资质文件必须装订，并加盖骑缝章，不接受未经装订的竞选资料，否则视为无效竞选。将所有文件密封并在封口处加盖骑缝章，</w:t>
      </w:r>
      <w:r>
        <w:rPr>
          <w:rFonts w:hint="eastAsia" w:ascii="仿宋_GB2312" w:hAnsi="仿宋_GB2312" w:eastAsia="仿宋_GB2312" w:cs="仿宋_GB2312"/>
          <w:b/>
          <w:bCs/>
          <w:sz w:val="28"/>
          <w:szCs w:val="28"/>
        </w:rPr>
        <w:t>不接受密封袋以外的竞选资料（样品除外）。</w:t>
      </w:r>
    </w:p>
    <w:p>
      <w:pPr>
        <w:keepNext w:val="0"/>
        <w:keepLines w:val="0"/>
        <w:pageBreakBefore w:val="0"/>
        <w:kinsoku/>
        <w:overflowPunct/>
        <w:topLinePunct w:val="0"/>
        <w:bidi w:val="0"/>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2、竞选文件包括但不限于</w:t>
      </w:r>
      <w:r>
        <w:rPr>
          <w:rFonts w:hint="eastAsia" w:ascii="仿宋_GB2312" w:hAnsi="仿宋_GB2312" w:eastAsia="仿宋_GB2312" w:cs="仿宋_GB2312"/>
          <w:color w:val="000000"/>
          <w:kern w:val="0"/>
          <w:sz w:val="28"/>
          <w:szCs w:val="28"/>
        </w:rPr>
        <w:t>经办人委托书、经办人身份证复印件、营业执照、资质证书，并加盖竞选企业鲜章。</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3、提供服务承诺函。</w:t>
      </w:r>
    </w:p>
    <w:p>
      <w:pPr>
        <w:keepNext w:val="0"/>
        <w:keepLines w:val="0"/>
        <w:pageBreakBefore w:val="0"/>
        <w:kinsoku/>
        <w:overflowPunct/>
        <w:topLinePunct w:val="0"/>
        <w:bidi w:val="0"/>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五、报名要求</w:t>
      </w:r>
    </w:p>
    <w:p>
      <w:pPr>
        <w:keepNext w:val="0"/>
        <w:keepLines w:val="0"/>
        <w:pageBreakBefore w:val="0"/>
        <w:kinsoku/>
        <w:overflowPunct/>
        <w:topLinePunct w:val="0"/>
        <w:bidi w:val="0"/>
        <w:snapToGrid/>
        <w:spacing w:line="560" w:lineRule="exact"/>
        <w:ind w:firstLine="560" w:firstLineChars="200"/>
        <w:jc w:val="left"/>
        <w:textAlignment w:val="auto"/>
        <w:rPr>
          <w:rFonts w:hint="default" w:ascii="仿宋_GB2312" w:hAnsi="仿宋_GB2312" w:eastAsia="仿宋_GB2312" w:cs="仿宋_GB2312"/>
          <w:sz w:val="28"/>
          <w:szCs w:val="28"/>
        </w:rPr>
      </w:pPr>
      <w:r>
        <w:rPr>
          <w:rFonts w:hint="eastAsia" w:ascii="仿宋_GB2312" w:hAnsi="仿宋_GB2312" w:eastAsia="仿宋_GB2312" w:cs="仿宋_GB2312"/>
          <w:sz w:val="28"/>
          <w:szCs w:val="28"/>
        </w:rPr>
        <w:t>报名采用网络报名，符合条件且愿意参加竞选的单位需提供相关资质文件电子版发送到njyyjss@163.com。</w:t>
      </w:r>
    </w:p>
    <w:p>
      <w:pPr>
        <w:keepNext w:val="0"/>
        <w:keepLines w:val="0"/>
        <w:pageBreakBefore w:val="0"/>
        <w:kinsoku/>
        <w:overflowPunct/>
        <w:topLinePunct w:val="0"/>
        <w:bidi w:val="0"/>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报名截止日期：2020年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月10日下午17:00。</w:t>
      </w:r>
    </w:p>
    <w:p>
      <w:pPr>
        <w:keepNext w:val="0"/>
        <w:keepLines w:val="0"/>
        <w:pageBreakBefore w:val="0"/>
        <w:widowControl/>
        <w:kinsoku/>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en-US" w:eastAsia="zh-CN"/>
        </w:rPr>
        <w:t>六</w:t>
      </w:r>
      <w:r>
        <w:rPr>
          <w:rFonts w:hint="eastAsia" w:ascii="仿宋_GB2312" w:hAnsi="仿宋_GB2312" w:eastAsia="仿宋_GB2312" w:cs="仿宋_GB2312"/>
          <w:b/>
          <w:bCs/>
          <w:color w:val="000000"/>
          <w:kern w:val="0"/>
          <w:sz w:val="28"/>
          <w:szCs w:val="28"/>
          <w:lang w:val="zh-CN"/>
        </w:rPr>
        <w:t>、响应截止时间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符合条件且愿意参加的竞选单位于2020年9月11日到竞选地点</w:t>
      </w:r>
      <w:r>
        <w:rPr>
          <w:rFonts w:hint="eastAsia" w:ascii="仿宋_GB2312" w:hAnsi="仿宋_GB2312" w:eastAsia="仿宋_GB2312" w:cs="仿宋_GB2312"/>
          <w:color w:val="000000"/>
          <w:kern w:val="0"/>
          <w:sz w:val="28"/>
          <w:szCs w:val="28"/>
          <w:lang w:val="zh-CN"/>
        </w:rPr>
        <w:t>递交竞选文件</w:t>
      </w:r>
      <w:r>
        <w:rPr>
          <w:rFonts w:hint="eastAsia" w:ascii="仿宋_GB2312" w:hAnsi="仿宋_GB2312" w:eastAsia="仿宋_GB2312" w:cs="仿宋_GB2312"/>
          <w:color w:val="000000"/>
          <w:kern w:val="0"/>
          <w:sz w:val="28"/>
          <w:szCs w:val="28"/>
        </w:rPr>
        <w:t>。</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en-US" w:eastAsia="zh-CN"/>
        </w:rPr>
        <w:t>七</w:t>
      </w:r>
      <w:r>
        <w:rPr>
          <w:rFonts w:hint="eastAsia" w:ascii="仿宋_GB2312" w:hAnsi="仿宋_GB2312" w:eastAsia="仿宋_GB2312" w:cs="仿宋_GB2312"/>
          <w:b/>
          <w:bCs/>
          <w:color w:val="000000"/>
          <w:kern w:val="0"/>
          <w:sz w:val="28"/>
          <w:szCs w:val="28"/>
          <w:lang w:val="zh-CN"/>
        </w:rPr>
        <w:t>、竞选时间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2020年</w:t>
      </w:r>
      <w:r>
        <w:rPr>
          <w:rFonts w:hint="eastAsia" w:ascii="仿宋_GB2312" w:hAnsi="仿宋_GB2312" w:eastAsia="仿宋_GB2312" w:cs="仿宋_GB2312"/>
          <w:color w:val="000000"/>
          <w:kern w:val="0"/>
          <w:sz w:val="28"/>
          <w:szCs w:val="28"/>
        </w:rPr>
        <w:t>9</w:t>
      </w:r>
      <w:r>
        <w:rPr>
          <w:rFonts w:hint="eastAsia" w:ascii="仿宋_GB2312" w:hAnsi="仿宋_GB2312" w:eastAsia="仿宋_GB2312" w:cs="仿宋_GB2312"/>
          <w:color w:val="000000"/>
          <w:kern w:val="0"/>
          <w:sz w:val="28"/>
          <w:szCs w:val="28"/>
          <w:lang w:val="zh-CN"/>
        </w:rPr>
        <w:t>月</w:t>
      </w:r>
      <w:r>
        <w:rPr>
          <w:rFonts w:hint="eastAsia" w:ascii="仿宋_GB2312" w:hAnsi="仿宋_GB2312" w:eastAsia="仿宋_GB2312" w:cs="仿宋_GB2312"/>
          <w:color w:val="000000"/>
          <w:kern w:val="0"/>
          <w:sz w:val="28"/>
          <w:szCs w:val="28"/>
        </w:rPr>
        <w:t>11</w:t>
      </w:r>
      <w:r>
        <w:rPr>
          <w:rFonts w:hint="eastAsia" w:ascii="仿宋_GB2312" w:hAnsi="仿宋_GB2312" w:eastAsia="仿宋_GB2312" w:cs="仿宋_GB2312"/>
          <w:color w:val="000000"/>
          <w:kern w:val="0"/>
          <w:sz w:val="28"/>
          <w:szCs w:val="28"/>
          <w:lang w:val="zh-CN"/>
        </w:rPr>
        <w:t>日下午</w:t>
      </w:r>
      <w:r>
        <w:rPr>
          <w:rFonts w:hint="eastAsia" w:ascii="仿宋_GB2312" w:hAnsi="仿宋_GB2312" w:eastAsia="仿宋_GB2312" w:cs="仿宋_GB2312"/>
          <w:color w:val="000000"/>
          <w:kern w:val="0"/>
          <w:sz w:val="28"/>
          <w:szCs w:val="28"/>
        </w:rPr>
        <w:t>2:45</w:t>
      </w:r>
      <w:r>
        <w:rPr>
          <w:rFonts w:hint="eastAsia" w:ascii="仿宋_GB2312" w:hAnsi="仿宋_GB2312" w:eastAsia="仿宋_GB2312" w:cs="仿宋_GB2312"/>
          <w:color w:val="000000"/>
          <w:kern w:val="0"/>
          <w:sz w:val="28"/>
          <w:szCs w:val="28"/>
          <w:lang w:val="zh-CN"/>
        </w:rPr>
        <w:t>（如遇变更另</w:t>
      </w:r>
      <w:bookmarkStart w:id="0" w:name="_GoBack"/>
      <w:bookmarkEnd w:id="0"/>
      <w:r>
        <w:rPr>
          <w:rFonts w:hint="eastAsia" w:ascii="仿宋_GB2312" w:hAnsi="仿宋_GB2312" w:eastAsia="仿宋_GB2312" w:cs="仿宋_GB2312"/>
          <w:color w:val="000000"/>
          <w:kern w:val="0"/>
          <w:sz w:val="28"/>
          <w:szCs w:val="28"/>
          <w:lang w:val="zh-CN"/>
        </w:rPr>
        <w:t>行通知）</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en-US" w:eastAsia="zh-CN"/>
        </w:rPr>
        <w:t>八</w:t>
      </w:r>
      <w:r>
        <w:rPr>
          <w:rFonts w:hint="eastAsia" w:ascii="仿宋_GB2312" w:hAnsi="仿宋_GB2312" w:eastAsia="仿宋_GB2312" w:cs="仿宋_GB2312"/>
          <w:b/>
          <w:bCs/>
          <w:color w:val="000000"/>
          <w:kern w:val="0"/>
          <w:sz w:val="28"/>
          <w:szCs w:val="28"/>
          <w:lang w:val="zh-CN"/>
        </w:rPr>
        <w:t>、竞选地点</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内江市第一人民医院新区医院全科楼</w:t>
      </w:r>
      <w:r>
        <w:rPr>
          <w:rFonts w:hint="eastAsia" w:ascii="仿宋_GB2312" w:hAnsi="仿宋_GB2312" w:eastAsia="仿宋_GB2312" w:cs="仿宋_GB2312"/>
          <w:color w:val="000000"/>
          <w:kern w:val="0"/>
          <w:sz w:val="28"/>
          <w:szCs w:val="28"/>
        </w:rPr>
        <w:t>5</w:t>
      </w:r>
      <w:r>
        <w:rPr>
          <w:rFonts w:hint="eastAsia" w:ascii="仿宋_GB2312" w:hAnsi="仿宋_GB2312" w:eastAsia="仿宋_GB2312" w:cs="仿宋_GB2312"/>
          <w:color w:val="000000"/>
          <w:kern w:val="0"/>
          <w:sz w:val="28"/>
          <w:szCs w:val="28"/>
          <w:lang w:val="zh-CN"/>
        </w:rPr>
        <w:t>楼会议室。</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en-US" w:eastAsia="zh-CN"/>
        </w:rPr>
        <w:t>九</w:t>
      </w:r>
      <w:r>
        <w:rPr>
          <w:rFonts w:hint="eastAsia" w:ascii="仿宋_GB2312" w:hAnsi="仿宋_GB2312" w:eastAsia="仿宋_GB2312" w:cs="仿宋_GB2312"/>
          <w:b/>
          <w:bCs/>
          <w:color w:val="000000"/>
          <w:kern w:val="0"/>
          <w:sz w:val="28"/>
          <w:szCs w:val="28"/>
          <w:lang w:val="zh-CN"/>
        </w:rPr>
        <w:t>、中标方式</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color w:val="000000"/>
          <w:kern w:val="0"/>
          <w:sz w:val="28"/>
          <w:szCs w:val="28"/>
          <w:lang w:val="zh-CN"/>
        </w:rPr>
        <w:t>包一项目符合以上要求，选取最低价为中标方案。</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包二和包三项目采用综合评分（评分标准详见附件），选取得分最高为中标方案。</w:t>
      </w:r>
    </w:p>
    <w:p>
      <w:pPr>
        <w:keepNext w:val="0"/>
        <w:keepLines w:val="0"/>
        <w:pageBreakBefore w:val="0"/>
        <w:widowControl/>
        <w:kinsoku/>
        <w:overflowPunct/>
        <w:topLinePunct w:val="0"/>
        <w:bidi w:val="0"/>
        <w:adjustRightInd w:val="0"/>
        <w:snapToGrid/>
        <w:spacing w:line="560" w:lineRule="exact"/>
        <w:ind w:firstLine="562" w:firstLineChars="200"/>
        <w:jc w:val="left"/>
        <w:textAlignment w:val="auto"/>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val="en-US" w:eastAsia="zh-CN"/>
        </w:rPr>
        <w:t>十</w:t>
      </w:r>
      <w:r>
        <w:rPr>
          <w:rFonts w:hint="eastAsia" w:ascii="仿宋_GB2312" w:hAnsi="仿宋_GB2312" w:eastAsia="仿宋_GB2312" w:cs="仿宋_GB2312"/>
          <w:b/>
          <w:bCs/>
          <w:color w:val="000000"/>
          <w:kern w:val="0"/>
          <w:sz w:val="28"/>
          <w:szCs w:val="28"/>
          <w:lang w:val="zh-CN"/>
        </w:rPr>
        <w:t>、联系方式</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联系地址：</w:t>
      </w:r>
      <w:r>
        <w:rPr>
          <w:rFonts w:hint="eastAsia" w:ascii="仿宋_GB2312" w:hAnsi="仿宋_GB2312" w:eastAsia="仿宋_GB2312" w:cs="仿宋_GB2312"/>
          <w:color w:val="000000"/>
          <w:sz w:val="28"/>
          <w:szCs w:val="28"/>
        </w:rPr>
        <w:t>内江市市中区汉安大道西段1866号</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邮    编：641001</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w:t>
      </w:r>
      <w:r>
        <w:rPr>
          <w:rFonts w:hint="eastAsia" w:ascii="仿宋_GB2312" w:hAnsi="仿宋_GB2312" w:eastAsia="仿宋_GB2312" w:cs="仿宋_GB2312"/>
          <w:color w:val="000000"/>
          <w:sz w:val="28"/>
          <w:szCs w:val="28"/>
        </w:rPr>
        <w:t>系人：林老师</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default"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联系电话：15328717990</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default"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监督电话：0832-2155638</w:t>
      </w: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28"/>
          <w:szCs w:val="28"/>
        </w:rPr>
      </w:pP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 xml:space="preserve">内江市第一人民医院                                             </w:t>
      </w:r>
    </w:p>
    <w:p>
      <w:pPr>
        <w:pStyle w:val="2"/>
        <w:keepNext w:val="0"/>
        <w:keepLines w:val="0"/>
        <w:pageBreakBefore w:val="0"/>
        <w:kinsoku/>
        <w:wordWrap w:val="0"/>
        <w:overflowPunct/>
        <w:topLinePunct w:val="0"/>
        <w:bidi w:val="0"/>
        <w:snapToGrid/>
        <w:spacing w:after="0" w:line="560" w:lineRule="exact"/>
        <w:ind w:right="140" w:firstLine="560" w:firstLineChars="200"/>
        <w:jc w:val="righ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2020年9月</w:t>
      </w:r>
      <w:r>
        <w:rPr>
          <w:rFonts w:hint="eastAsia" w:ascii="仿宋_GB2312" w:hAnsi="仿宋_GB2312" w:eastAsia="仿宋_GB2312" w:cs="仿宋_GB2312"/>
          <w:color w:val="000000"/>
          <w:kern w:val="0"/>
          <w:sz w:val="28"/>
          <w:szCs w:val="28"/>
          <w:lang w:val="en-US" w:eastAsia="zh-CN"/>
        </w:rPr>
        <w:t>7</w:t>
      </w:r>
      <w:r>
        <w:rPr>
          <w:rFonts w:hint="eastAsia" w:ascii="仿宋_GB2312" w:hAnsi="仿宋_GB2312" w:eastAsia="仿宋_GB2312" w:cs="仿宋_GB2312"/>
          <w:color w:val="000000"/>
          <w:kern w:val="0"/>
          <w:sz w:val="28"/>
          <w:szCs w:val="28"/>
        </w:rPr>
        <w:t>日</w:t>
      </w:r>
    </w:p>
    <w:p>
      <w:pPr>
        <w:pStyle w:val="2"/>
        <w:spacing w:line="340" w:lineRule="exact"/>
        <w:ind w:right="140" w:firstLine="560" w:firstLineChars="200"/>
        <w:jc w:val="right"/>
        <w:rPr>
          <w:rFonts w:ascii="仿宋_GB2312" w:hAnsi="宋体" w:eastAsia="仿宋_GB2312" w:cs="Times New Roman"/>
          <w:color w:val="000000"/>
          <w:kern w:val="0"/>
          <w:sz w:val="28"/>
          <w:szCs w:val="28"/>
        </w:rPr>
      </w:pPr>
    </w:p>
    <w:p>
      <w:pPr>
        <w:pStyle w:val="2"/>
        <w:spacing w:line="340" w:lineRule="exact"/>
        <w:ind w:right="140" w:firstLine="420" w:firstLineChars="200"/>
        <w:jc w:val="left"/>
        <w:rPr>
          <w:rFonts w:ascii="宋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429C"/>
    <w:rsid w:val="000071C7"/>
    <w:rsid w:val="000234D8"/>
    <w:rsid w:val="00030C94"/>
    <w:rsid w:val="00043BCF"/>
    <w:rsid w:val="00043D14"/>
    <w:rsid w:val="00043D21"/>
    <w:rsid w:val="00057567"/>
    <w:rsid w:val="00057962"/>
    <w:rsid w:val="00061872"/>
    <w:rsid w:val="00062912"/>
    <w:rsid w:val="00064B9D"/>
    <w:rsid w:val="000658F5"/>
    <w:rsid w:val="00080A52"/>
    <w:rsid w:val="00084C77"/>
    <w:rsid w:val="00087AE9"/>
    <w:rsid w:val="00090BC4"/>
    <w:rsid w:val="000974D6"/>
    <w:rsid w:val="000B31AC"/>
    <w:rsid w:val="000C612F"/>
    <w:rsid w:val="000E35CD"/>
    <w:rsid w:val="000E3FF3"/>
    <w:rsid w:val="000F7EE0"/>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271"/>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41F82"/>
    <w:rsid w:val="00247A80"/>
    <w:rsid w:val="0025035C"/>
    <w:rsid w:val="002547B8"/>
    <w:rsid w:val="00254CCC"/>
    <w:rsid w:val="00261EF4"/>
    <w:rsid w:val="00264ABE"/>
    <w:rsid w:val="00284043"/>
    <w:rsid w:val="0028569A"/>
    <w:rsid w:val="002968DC"/>
    <w:rsid w:val="002B35FD"/>
    <w:rsid w:val="002C0AFA"/>
    <w:rsid w:val="002C10DE"/>
    <w:rsid w:val="002C7018"/>
    <w:rsid w:val="002D2925"/>
    <w:rsid w:val="002D2E27"/>
    <w:rsid w:val="002D4164"/>
    <w:rsid w:val="002D7575"/>
    <w:rsid w:val="002E2092"/>
    <w:rsid w:val="002F2076"/>
    <w:rsid w:val="002F3A29"/>
    <w:rsid w:val="002F56DE"/>
    <w:rsid w:val="002F7790"/>
    <w:rsid w:val="00302E27"/>
    <w:rsid w:val="0030492F"/>
    <w:rsid w:val="00306BA8"/>
    <w:rsid w:val="00311287"/>
    <w:rsid w:val="003119D9"/>
    <w:rsid w:val="0031377F"/>
    <w:rsid w:val="003207AE"/>
    <w:rsid w:val="00321A40"/>
    <w:rsid w:val="00331779"/>
    <w:rsid w:val="00336722"/>
    <w:rsid w:val="00347D45"/>
    <w:rsid w:val="00354E74"/>
    <w:rsid w:val="00365346"/>
    <w:rsid w:val="00385868"/>
    <w:rsid w:val="003A591A"/>
    <w:rsid w:val="003A6C57"/>
    <w:rsid w:val="003B1273"/>
    <w:rsid w:val="003B3A38"/>
    <w:rsid w:val="003C4360"/>
    <w:rsid w:val="003D0408"/>
    <w:rsid w:val="003E429C"/>
    <w:rsid w:val="003E508D"/>
    <w:rsid w:val="004027BD"/>
    <w:rsid w:val="00404AAE"/>
    <w:rsid w:val="004126A4"/>
    <w:rsid w:val="00415B59"/>
    <w:rsid w:val="00434944"/>
    <w:rsid w:val="0045211E"/>
    <w:rsid w:val="004558B9"/>
    <w:rsid w:val="004572EA"/>
    <w:rsid w:val="004624FC"/>
    <w:rsid w:val="00464596"/>
    <w:rsid w:val="00467E5B"/>
    <w:rsid w:val="004737DC"/>
    <w:rsid w:val="00477603"/>
    <w:rsid w:val="004819F5"/>
    <w:rsid w:val="00495DF7"/>
    <w:rsid w:val="004A6E81"/>
    <w:rsid w:val="004B1352"/>
    <w:rsid w:val="004C2C3F"/>
    <w:rsid w:val="004D4ED7"/>
    <w:rsid w:val="004D50F9"/>
    <w:rsid w:val="004D5EA5"/>
    <w:rsid w:val="004E0CB4"/>
    <w:rsid w:val="004E2A5E"/>
    <w:rsid w:val="004F2AF8"/>
    <w:rsid w:val="004F4514"/>
    <w:rsid w:val="00522E77"/>
    <w:rsid w:val="00530F81"/>
    <w:rsid w:val="00534377"/>
    <w:rsid w:val="005411B8"/>
    <w:rsid w:val="005441EF"/>
    <w:rsid w:val="005444E3"/>
    <w:rsid w:val="0055248A"/>
    <w:rsid w:val="00563448"/>
    <w:rsid w:val="0057074E"/>
    <w:rsid w:val="00592F77"/>
    <w:rsid w:val="0059710D"/>
    <w:rsid w:val="005A1B30"/>
    <w:rsid w:val="005A399A"/>
    <w:rsid w:val="005C2369"/>
    <w:rsid w:val="005D0069"/>
    <w:rsid w:val="005D76B6"/>
    <w:rsid w:val="005E233E"/>
    <w:rsid w:val="005E29DD"/>
    <w:rsid w:val="005E2D56"/>
    <w:rsid w:val="005E375A"/>
    <w:rsid w:val="005E69FC"/>
    <w:rsid w:val="005F534D"/>
    <w:rsid w:val="006009B7"/>
    <w:rsid w:val="0061552E"/>
    <w:rsid w:val="00625821"/>
    <w:rsid w:val="0063676B"/>
    <w:rsid w:val="00643D3C"/>
    <w:rsid w:val="00644D4E"/>
    <w:rsid w:val="006B1ABA"/>
    <w:rsid w:val="006B2974"/>
    <w:rsid w:val="006C5B77"/>
    <w:rsid w:val="006C6DBA"/>
    <w:rsid w:val="006D18F0"/>
    <w:rsid w:val="006D36B5"/>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8548F"/>
    <w:rsid w:val="007A0AA3"/>
    <w:rsid w:val="007A3756"/>
    <w:rsid w:val="007A6B2C"/>
    <w:rsid w:val="007B24C4"/>
    <w:rsid w:val="007B49A0"/>
    <w:rsid w:val="007B508B"/>
    <w:rsid w:val="007D01BB"/>
    <w:rsid w:val="007E3694"/>
    <w:rsid w:val="007F6542"/>
    <w:rsid w:val="008017A1"/>
    <w:rsid w:val="00802F26"/>
    <w:rsid w:val="00805C82"/>
    <w:rsid w:val="00806FC7"/>
    <w:rsid w:val="008133B1"/>
    <w:rsid w:val="008221E0"/>
    <w:rsid w:val="00827349"/>
    <w:rsid w:val="0083027F"/>
    <w:rsid w:val="00835F88"/>
    <w:rsid w:val="00851360"/>
    <w:rsid w:val="00874C07"/>
    <w:rsid w:val="008845BB"/>
    <w:rsid w:val="00896F6E"/>
    <w:rsid w:val="00897AEF"/>
    <w:rsid w:val="008B5DE9"/>
    <w:rsid w:val="008B5F19"/>
    <w:rsid w:val="008C344F"/>
    <w:rsid w:val="008C799F"/>
    <w:rsid w:val="008D1DC2"/>
    <w:rsid w:val="008D214B"/>
    <w:rsid w:val="008D44BD"/>
    <w:rsid w:val="008E514F"/>
    <w:rsid w:val="008F2CE3"/>
    <w:rsid w:val="008F3FA1"/>
    <w:rsid w:val="00902675"/>
    <w:rsid w:val="009049D3"/>
    <w:rsid w:val="00914E68"/>
    <w:rsid w:val="0091629D"/>
    <w:rsid w:val="00917817"/>
    <w:rsid w:val="0094441A"/>
    <w:rsid w:val="0095435C"/>
    <w:rsid w:val="00963F58"/>
    <w:rsid w:val="009652E5"/>
    <w:rsid w:val="009671EF"/>
    <w:rsid w:val="00974259"/>
    <w:rsid w:val="00975DCB"/>
    <w:rsid w:val="00977185"/>
    <w:rsid w:val="009802EA"/>
    <w:rsid w:val="00981C26"/>
    <w:rsid w:val="0098300B"/>
    <w:rsid w:val="00983DA0"/>
    <w:rsid w:val="009911A1"/>
    <w:rsid w:val="00996A47"/>
    <w:rsid w:val="009B203A"/>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740FF"/>
    <w:rsid w:val="00AA20BC"/>
    <w:rsid w:val="00AB5207"/>
    <w:rsid w:val="00AB7C7C"/>
    <w:rsid w:val="00AD2927"/>
    <w:rsid w:val="00AD3E91"/>
    <w:rsid w:val="00AD4F22"/>
    <w:rsid w:val="00AE236B"/>
    <w:rsid w:val="00AF007C"/>
    <w:rsid w:val="00B253CC"/>
    <w:rsid w:val="00B30A85"/>
    <w:rsid w:val="00B408D9"/>
    <w:rsid w:val="00B43CE2"/>
    <w:rsid w:val="00B46605"/>
    <w:rsid w:val="00B47C40"/>
    <w:rsid w:val="00B57BD7"/>
    <w:rsid w:val="00B60623"/>
    <w:rsid w:val="00B66CAB"/>
    <w:rsid w:val="00B769E4"/>
    <w:rsid w:val="00B82FC2"/>
    <w:rsid w:val="00B8758E"/>
    <w:rsid w:val="00BA2397"/>
    <w:rsid w:val="00BA7769"/>
    <w:rsid w:val="00BB3B60"/>
    <w:rsid w:val="00BB6C10"/>
    <w:rsid w:val="00BD44A3"/>
    <w:rsid w:val="00BD6E55"/>
    <w:rsid w:val="00BE29C7"/>
    <w:rsid w:val="00BF5B10"/>
    <w:rsid w:val="00C04AC7"/>
    <w:rsid w:val="00C05599"/>
    <w:rsid w:val="00C22E2B"/>
    <w:rsid w:val="00C2418C"/>
    <w:rsid w:val="00C256CF"/>
    <w:rsid w:val="00C36C97"/>
    <w:rsid w:val="00C506A3"/>
    <w:rsid w:val="00C5585E"/>
    <w:rsid w:val="00C56D24"/>
    <w:rsid w:val="00C64070"/>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679C"/>
    <w:rsid w:val="00D57B18"/>
    <w:rsid w:val="00D62EBC"/>
    <w:rsid w:val="00D7147C"/>
    <w:rsid w:val="00D74D09"/>
    <w:rsid w:val="00D923BD"/>
    <w:rsid w:val="00D941DD"/>
    <w:rsid w:val="00D94405"/>
    <w:rsid w:val="00D96047"/>
    <w:rsid w:val="00DA2426"/>
    <w:rsid w:val="00DA4BB9"/>
    <w:rsid w:val="00DA6FFE"/>
    <w:rsid w:val="00DB02D2"/>
    <w:rsid w:val="00DB37C8"/>
    <w:rsid w:val="00DC4585"/>
    <w:rsid w:val="00DD19F9"/>
    <w:rsid w:val="00DD3F8E"/>
    <w:rsid w:val="00DD3FA8"/>
    <w:rsid w:val="00DE025A"/>
    <w:rsid w:val="00DF2CD9"/>
    <w:rsid w:val="00DF3C05"/>
    <w:rsid w:val="00E02D2A"/>
    <w:rsid w:val="00E268C0"/>
    <w:rsid w:val="00E27A07"/>
    <w:rsid w:val="00E3268E"/>
    <w:rsid w:val="00E34248"/>
    <w:rsid w:val="00E34D3E"/>
    <w:rsid w:val="00E35253"/>
    <w:rsid w:val="00E35910"/>
    <w:rsid w:val="00E40BA7"/>
    <w:rsid w:val="00E53DC3"/>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16F72"/>
    <w:rsid w:val="00F276B3"/>
    <w:rsid w:val="00F31AC2"/>
    <w:rsid w:val="00F41A34"/>
    <w:rsid w:val="00F534FC"/>
    <w:rsid w:val="00F64493"/>
    <w:rsid w:val="00F65B40"/>
    <w:rsid w:val="00F77A91"/>
    <w:rsid w:val="00F94C3C"/>
    <w:rsid w:val="00F96B97"/>
    <w:rsid w:val="00FA46C9"/>
    <w:rsid w:val="00FA7080"/>
    <w:rsid w:val="00FD0555"/>
    <w:rsid w:val="00FF52CC"/>
    <w:rsid w:val="270771DE"/>
    <w:rsid w:val="337001EB"/>
    <w:rsid w:val="3441117E"/>
    <w:rsid w:val="52EC2D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unhideWhenUsed="0" w:uiPriority="99" w:name="annotation text"/>
    <w:lsdException w:unhideWhenUsed="0" w:uiPriority="0"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qFormat="1" w:unhideWhenUsed="0" w:uiPriority="0" w:semiHidden="0" w:name="Table Grid"/>
    <w:lsdException w:uiPriority="0" w:name="Table Theme" w:locked="1"/>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link w:val="17"/>
    <w:uiPriority w:val="99"/>
    <w:pPr>
      <w:spacing w:after="120"/>
    </w:pPr>
  </w:style>
  <w:style w:type="paragraph" w:styleId="3">
    <w:name w:val="annotation text"/>
    <w:basedOn w:val="1"/>
    <w:link w:val="26"/>
    <w:semiHidden/>
    <w:uiPriority w:val="99"/>
    <w:pPr>
      <w:jc w:val="left"/>
    </w:pPr>
  </w:style>
  <w:style w:type="paragraph" w:styleId="4">
    <w:name w:val="Date"/>
    <w:basedOn w:val="1"/>
    <w:next w:val="1"/>
    <w:link w:val="18"/>
    <w:uiPriority w:val="99"/>
    <w:pPr>
      <w:ind w:left="100" w:leftChars="2500"/>
    </w:pPr>
  </w:style>
  <w:style w:type="paragraph" w:styleId="5">
    <w:name w:val="Balloon Text"/>
    <w:basedOn w:val="1"/>
    <w:link w:val="19"/>
    <w:semiHidden/>
    <w:uiPriority w:val="99"/>
    <w:rPr>
      <w:sz w:val="18"/>
      <w:szCs w:val="18"/>
    </w:rPr>
  </w:style>
  <w:style w:type="paragraph" w:styleId="6">
    <w:name w:val="footer"/>
    <w:basedOn w:val="1"/>
    <w:link w:val="20"/>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21"/>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27"/>
    <w:semiHidden/>
    <w:uiPriority w:val="99"/>
    <w:rPr>
      <w:b/>
      <w:bCs/>
    </w:rPr>
  </w:style>
  <w:style w:type="table" w:styleId="11">
    <w:name w:val="Table Grid"/>
    <w:basedOn w:val="10"/>
    <w:qFormat/>
    <w:uiPriority w:val="0"/>
    <w:rPr>
      <w:rFonts w:ascii="Calibri" w:hAnsi="Calibri"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0"/>
    <w:rPr>
      <w:b/>
    </w:rPr>
  </w:style>
  <w:style w:type="character" w:styleId="14">
    <w:name w:val="Emphasis"/>
    <w:basedOn w:val="12"/>
    <w:qFormat/>
    <w:uiPriority w:val="99"/>
    <w:rPr>
      <w:i/>
      <w:iCs/>
    </w:rPr>
  </w:style>
  <w:style w:type="character" w:styleId="15">
    <w:name w:val="Hyperlink"/>
    <w:basedOn w:val="12"/>
    <w:uiPriority w:val="99"/>
    <w:rPr>
      <w:color w:val="0000FF"/>
      <w:u w:val="single"/>
    </w:rPr>
  </w:style>
  <w:style w:type="character" w:styleId="16">
    <w:name w:val="annotation reference"/>
    <w:basedOn w:val="12"/>
    <w:semiHidden/>
    <w:uiPriority w:val="99"/>
    <w:rPr>
      <w:sz w:val="21"/>
      <w:szCs w:val="21"/>
    </w:rPr>
  </w:style>
  <w:style w:type="character" w:customStyle="1" w:styleId="17">
    <w:name w:val="正文文本 Char"/>
    <w:basedOn w:val="12"/>
    <w:link w:val="2"/>
    <w:locked/>
    <w:uiPriority w:val="99"/>
    <w:rPr>
      <w:rFonts w:ascii="Calibri" w:hAnsi="Calibri" w:cs="Calibri"/>
      <w:kern w:val="2"/>
      <w:sz w:val="24"/>
      <w:szCs w:val="24"/>
    </w:rPr>
  </w:style>
  <w:style w:type="character" w:customStyle="1" w:styleId="18">
    <w:name w:val="日期 Char"/>
    <w:basedOn w:val="12"/>
    <w:link w:val="4"/>
    <w:locked/>
    <w:uiPriority w:val="99"/>
    <w:rPr>
      <w:rFonts w:ascii="Calibri" w:hAnsi="Calibri" w:cs="Calibri"/>
      <w:kern w:val="2"/>
      <w:sz w:val="24"/>
      <w:szCs w:val="24"/>
    </w:rPr>
  </w:style>
  <w:style w:type="character" w:customStyle="1" w:styleId="19">
    <w:name w:val="批注框文本 Char"/>
    <w:basedOn w:val="12"/>
    <w:link w:val="5"/>
    <w:locked/>
    <w:uiPriority w:val="99"/>
    <w:rPr>
      <w:rFonts w:ascii="Calibri" w:hAnsi="Calibri" w:cs="Calibri"/>
      <w:kern w:val="2"/>
      <w:sz w:val="18"/>
      <w:szCs w:val="18"/>
    </w:rPr>
  </w:style>
  <w:style w:type="character" w:customStyle="1" w:styleId="20">
    <w:name w:val="页脚 Char"/>
    <w:basedOn w:val="12"/>
    <w:link w:val="6"/>
    <w:locked/>
    <w:uiPriority w:val="99"/>
    <w:rPr>
      <w:kern w:val="2"/>
      <w:sz w:val="18"/>
      <w:szCs w:val="18"/>
    </w:rPr>
  </w:style>
  <w:style w:type="character" w:customStyle="1" w:styleId="21">
    <w:name w:val="页眉 Char"/>
    <w:basedOn w:val="12"/>
    <w:link w:val="7"/>
    <w:locked/>
    <w:uiPriority w:val="0"/>
    <w:rPr>
      <w:kern w:val="2"/>
      <w:sz w:val="18"/>
      <w:szCs w:val="18"/>
    </w:rPr>
  </w:style>
  <w:style w:type="character" w:styleId="22">
    <w:name w:val="Placeholder Text"/>
    <w:basedOn w:val="12"/>
    <w:semiHidden/>
    <w:uiPriority w:val="99"/>
    <w:rPr>
      <w:color w:val="808080"/>
    </w:rPr>
  </w:style>
  <w:style w:type="paragraph" w:styleId="23">
    <w:name w:val="List Paragraph"/>
    <w:basedOn w:val="1"/>
    <w:qFormat/>
    <w:uiPriority w:val="99"/>
    <w:pPr>
      <w:widowControl/>
      <w:spacing w:after="200" w:line="276" w:lineRule="auto"/>
      <w:ind w:left="720"/>
      <w:jc w:val="left"/>
    </w:pPr>
    <w:rPr>
      <w:kern w:val="0"/>
      <w:sz w:val="22"/>
      <w:szCs w:val="22"/>
    </w:rPr>
  </w:style>
  <w:style w:type="paragraph" w:customStyle="1" w:styleId="24">
    <w:name w:val="段"/>
    <w:link w:val="25"/>
    <w:uiPriority w:val="99"/>
    <w:pPr>
      <w:autoSpaceDE w:val="0"/>
      <w:autoSpaceDN w:val="0"/>
      <w:ind w:firstLine="200" w:firstLineChars="200"/>
      <w:jc w:val="both"/>
    </w:pPr>
    <w:rPr>
      <w:rFonts w:ascii="宋体" w:hAnsi="Times New Roman" w:eastAsia="宋体" w:cs="宋体"/>
      <w:kern w:val="0"/>
      <w:sz w:val="21"/>
      <w:szCs w:val="21"/>
      <w:lang w:val="en-US" w:eastAsia="zh-CN" w:bidi="ar-SA"/>
    </w:rPr>
  </w:style>
  <w:style w:type="character" w:customStyle="1" w:styleId="25">
    <w:name w:val="段 Char"/>
    <w:basedOn w:val="12"/>
    <w:link w:val="24"/>
    <w:locked/>
    <w:uiPriority w:val="99"/>
    <w:rPr>
      <w:rFonts w:ascii="宋体" w:cs="宋体"/>
      <w:sz w:val="21"/>
      <w:szCs w:val="21"/>
      <w:lang w:val="en-US" w:eastAsia="zh-CN"/>
    </w:rPr>
  </w:style>
  <w:style w:type="character" w:customStyle="1" w:styleId="26">
    <w:name w:val="批注文字 Char"/>
    <w:basedOn w:val="12"/>
    <w:link w:val="3"/>
    <w:semiHidden/>
    <w:locked/>
    <w:uiPriority w:val="99"/>
    <w:rPr>
      <w:rFonts w:ascii="Calibri" w:hAnsi="Calibri" w:cs="Calibri"/>
      <w:kern w:val="2"/>
      <w:sz w:val="21"/>
      <w:szCs w:val="21"/>
    </w:rPr>
  </w:style>
  <w:style w:type="character" w:customStyle="1" w:styleId="27">
    <w:name w:val="批注主题 Char"/>
    <w:basedOn w:val="26"/>
    <w:link w:val="9"/>
    <w:semiHidden/>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0B4A07-AFF7-4878-9CF1-9423487956E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575</Words>
  <Characters>3284</Characters>
  <Lines>27</Lines>
  <Paragraphs>7</Paragraphs>
  <TotalTime>1810</TotalTime>
  <ScaleCrop>false</ScaleCrop>
  <LinksUpToDate>false</LinksUpToDate>
  <CharactersWithSpaces>3852</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2019-12-02T09:30:00Z</dcterms:created>
  <dc:creator>dreamsummit</dc:creator>
  <cp:lastModifiedBy>adminstrator</cp:lastModifiedBy>
  <cp:lastPrinted>2020-09-03T09:49:00Z</cp:lastPrinted>
  <dcterms:modified xsi:type="dcterms:W3CDTF">2020-09-07T01:21:09Z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