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vertAnchor="page" w:horzAnchor="page" w:tblpX="1895" w:tblpY="2478"/>
        <w:tblW w:w="917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1095"/>
        <w:gridCol w:w="682"/>
        <w:gridCol w:w="3753"/>
        <w:gridCol w:w="2510"/>
        <w:gridCol w:w="5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635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09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评分因素</w:t>
            </w:r>
          </w:p>
          <w:p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及权重</w:t>
            </w:r>
          </w:p>
        </w:tc>
        <w:tc>
          <w:tcPr>
            <w:tcW w:w="682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分　值</w:t>
            </w:r>
          </w:p>
        </w:tc>
        <w:tc>
          <w:tcPr>
            <w:tcW w:w="3753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评分标准</w:t>
            </w:r>
          </w:p>
        </w:tc>
        <w:tc>
          <w:tcPr>
            <w:tcW w:w="2510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说    明</w:t>
            </w:r>
          </w:p>
        </w:tc>
        <w:tc>
          <w:tcPr>
            <w:tcW w:w="501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4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pStyle w:val="3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pStyle w:val="3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报价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68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3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30</w:t>
            </w:r>
          </w:p>
        </w:tc>
        <w:tc>
          <w:tcPr>
            <w:tcW w:w="375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3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统一采用低价优先法计算，即该</w:t>
            </w:r>
            <w:r>
              <w:rPr>
                <w:rFonts w:ascii="宋体" w:hAnsi="宋体" w:cs="宋体"/>
                <w:kern w:val="0"/>
                <w:szCs w:val="21"/>
              </w:rPr>
              <w:t>品种</w:t>
            </w:r>
            <w:r>
              <w:rPr>
                <w:rFonts w:hint="eastAsia" w:ascii="宋体" w:hAnsi="宋体" w:cs="宋体"/>
                <w:kern w:val="0"/>
                <w:szCs w:val="21"/>
              </w:rPr>
              <w:t>满足竞选文件要求且竞选价格最低的竞选报价为评标基准价，其价格分为3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kern w:val="0"/>
                <w:szCs w:val="21"/>
              </w:rPr>
              <w:t>分。其他投标单位的价格分统一按照下列公式计算：竞选报价得分=(评标基准价／投标报价)×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30</w:t>
            </w:r>
            <w:r>
              <w:rPr>
                <w:rFonts w:ascii="宋体" w:hAnsi="宋体" w:cs="宋体"/>
                <w:kern w:val="0"/>
                <w:szCs w:val="21"/>
              </w:rPr>
              <w:t>%</w:t>
            </w:r>
            <w:r>
              <w:rPr>
                <w:rFonts w:hint="eastAsia" w:ascii="宋体" w:hAnsi="宋体" w:cs="宋体"/>
                <w:kern w:val="0"/>
                <w:szCs w:val="21"/>
              </w:rPr>
              <w:t>×100。</w:t>
            </w:r>
          </w:p>
          <w:p>
            <w:pPr>
              <w:pStyle w:val="3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ind w:left="-38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价</w:t>
            </w:r>
          </w:p>
          <w:p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格</w:t>
            </w:r>
          </w:p>
          <w:p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技术指标主要条款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52.5</w:t>
            </w:r>
            <w:r>
              <w:rPr>
                <w:rFonts w:hint="eastAsia"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68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52.5</w:t>
            </w:r>
          </w:p>
        </w:tc>
        <w:tc>
          <w:tcPr>
            <w:tcW w:w="3753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技术指标完全符合竞选文件要求没有负偏离得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52.5</w:t>
            </w:r>
            <w:r>
              <w:rPr>
                <w:rFonts w:hint="eastAsia" w:ascii="宋体" w:hAnsi="宋体" w:cs="宋体"/>
                <w:kern w:val="0"/>
                <w:szCs w:val="21"/>
              </w:rPr>
              <w:t>分，技术指标不满足竞选文件要求负偏离一项扣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2.5</w:t>
            </w:r>
            <w:r>
              <w:rPr>
                <w:rFonts w:hint="eastAsia" w:ascii="宋体" w:hAnsi="宋体" w:cs="宋体"/>
                <w:kern w:val="0"/>
                <w:szCs w:val="21"/>
              </w:rPr>
              <w:t>分，扣完为止。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hAnsi="宋体"/>
              </w:rPr>
              <w:t>竞选人需提供技术支撑材料，并在技术响应偏离表中注明，否则不予认定。</w:t>
            </w:r>
          </w:p>
        </w:tc>
        <w:tc>
          <w:tcPr>
            <w:tcW w:w="501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技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术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lang w:eastAsia="zh-CN"/>
              </w:rPr>
              <w:t>履约能力</w:t>
            </w: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lang w:eastAsia="zh-CN"/>
              </w:rPr>
              <w:t>%（共同评分因素）</w:t>
            </w:r>
          </w:p>
        </w:tc>
        <w:tc>
          <w:tcPr>
            <w:tcW w:w="68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6</w:t>
            </w:r>
          </w:p>
        </w:tc>
        <w:tc>
          <w:tcPr>
            <w:tcW w:w="3753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lang w:eastAsia="zh-CN"/>
              </w:rPr>
              <w:t>201</w:t>
            </w: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lang w:eastAsia="zh-CN"/>
              </w:rPr>
              <w:t>年（含）及以来,投标人每具有一个类似项目业绩得</w:t>
            </w: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lang w:eastAsia="zh-CN"/>
              </w:rPr>
              <w:t>分,最多得</w:t>
            </w: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lang w:eastAsia="zh-CN"/>
              </w:rPr>
              <w:t>分。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提供合同复印件或中标通知书复印件加盖投标人鲜章。</w:t>
            </w:r>
          </w:p>
        </w:tc>
        <w:tc>
          <w:tcPr>
            <w:tcW w:w="501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交货实施方案和售后服务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375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spacing w:line="240" w:lineRule="atLeast"/>
              <w:rPr>
                <w:rFonts w:hAnsi="宋体"/>
              </w:rPr>
            </w:pPr>
            <w:r>
              <w:rPr>
                <w:rFonts w:hint="eastAsia" w:hAnsi="宋体"/>
              </w:rPr>
              <w:t>根据竞选人承诺的交货实施方案和响应时间、质量保证范围，售后服务体系等进行综合分析评分：</w:t>
            </w:r>
          </w:p>
          <w:p>
            <w:pPr>
              <w:adjustRightInd w:val="0"/>
              <w:spacing w:line="240" w:lineRule="atLeast"/>
              <w:rPr>
                <w:rFonts w:hint="eastAsia" w:hAnsi="宋体" w:eastAsia="宋体"/>
                <w:lang w:val="en-US" w:eastAsia="zh-CN"/>
              </w:rPr>
            </w:pPr>
            <w:r>
              <w:rPr>
                <w:rFonts w:hint="eastAsia" w:hAnsi="宋体"/>
              </w:rPr>
              <w:t>1、有专人负责售后服务。2、承诺任何问题在接到电话后立即响应，并在24小时内处理。3、承诺产品质量问题无条件退货。承诺产品验收前，无条件破损退换。4、质保期为产品有效期内，无近效期产品。</w:t>
            </w:r>
            <w:r>
              <w:rPr>
                <w:rFonts w:hint="eastAsia" w:hAnsi="宋体"/>
                <w:lang w:val="en-US" w:eastAsia="zh-CN"/>
              </w:rPr>
              <w:t>5、运输过程需符合国家药品监督管理局的相关要求，并按买方要求安排送货。</w:t>
            </w:r>
          </w:p>
          <w:p>
            <w:pPr>
              <w:tabs>
                <w:tab w:val="left" w:pos="540"/>
              </w:tabs>
              <w:rPr>
                <w:rFonts w:ascii="宋体" w:hAnsi="宋体" w:cs="宋体"/>
                <w:szCs w:val="21"/>
              </w:rPr>
            </w:pPr>
            <w:r>
              <w:rPr>
                <w:rFonts w:hint="eastAsia" w:hAnsi="宋体"/>
              </w:rPr>
              <w:t>以上项目符合一项得</w:t>
            </w:r>
            <w:r>
              <w:rPr>
                <w:rFonts w:hint="eastAsia" w:hAnsi="宋体"/>
                <w:lang w:val="en-US" w:eastAsia="zh-CN"/>
              </w:rPr>
              <w:t>2</w:t>
            </w:r>
            <w:r>
              <w:rPr>
                <w:rFonts w:hint="eastAsia" w:hAnsi="宋体"/>
              </w:rPr>
              <w:t>分，最多得</w:t>
            </w:r>
            <w:r>
              <w:rPr>
                <w:rFonts w:hint="eastAsia" w:hAnsi="宋体"/>
                <w:lang w:val="en-US" w:eastAsia="zh-CN"/>
              </w:rPr>
              <w:t>10</w:t>
            </w:r>
            <w:r>
              <w:rPr>
                <w:rFonts w:hint="eastAsia" w:hAnsi="宋体"/>
              </w:rPr>
              <w:t>分。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以竞选文件为准</w:t>
            </w: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其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他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10" w:firstLineChars="10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响应文件的规范性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1.5</w:t>
            </w:r>
            <w:r>
              <w:rPr>
                <w:rFonts w:hint="eastAsia" w:ascii="宋体" w:hAnsi="宋体" w:cs="宋体"/>
                <w:kern w:val="0"/>
                <w:szCs w:val="21"/>
              </w:rPr>
              <w:t>%（共同评分因素）</w:t>
            </w: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1.5</w:t>
            </w:r>
            <w:r>
              <w:rPr>
                <w:rFonts w:hint="eastAsia" w:ascii="宋体" w:hAnsi="宋体" w:cs="宋体"/>
                <w:kern w:val="0"/>
                <w:szCs w:val="21"/>
              </w:rPr>
              <w:t>分</w:t>
            </w:r>
          </w:p>
        </w:tc>
        <w:tc>
          <w:tcPr>
            <w:tcW w:w="3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响应文件制作规范，没有细微偏差情形的得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1.5</w:t>
            </w:r>
            <w:r>
              <w:rPr>
                <w:rFonts w:hint="eastAsia" w:ascii="宋体" w:hAnsi="宋体" w:cs="宋体"/>
                <w:kern w:val="0"/>
                <w:szCs w:val="21"/>
              </w:rPr>
              <w:t>分；有一项细微偏差扣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0.5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分，直至该项分值扣完为止。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7"/>
              <w:rPr>
                <w:rFonts w:ascii="宋体" w:hAnsi="宋体" w:eastAsia="宋体" w:cs="宋体"/>
                <w:color w:val="000000"/>
                <w:sz w:val="24"/>
                <w:szCs w:val="21"/>
                <w:lang w:val="en-US" w:eastAsia="zh-CN" w:bidi="ar-SA"/>
              </w:rPr>
            </w:pPr>
          </w:p>
        </w:tc>
        <w:tc>
          <w:tcPr>
            <w:tcW w:w="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其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他</w:t>
            </w:r>
          </w:p>
          <w:p>
            <w:pPr>
              <w:adjustRightInd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</w:rPr>
              <w:t>类</w:t>
            </w:r>
          </w:p>
        </w:tc>
      </w:tr>
    </w:tbl>
    <w:p>
      <w:pPr>
        <w:pStyle w:val="2"/>
        <w:ind w:firstLine="2891" w:firstLineChars="800"/>
        <w:rPr>
          <w:rFonts w:hint="eastAsia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</w:rPr>
        <w:t>评分</w:t>
      </w:r>
      <w:r>
        <w:rPr>
          <w:b/>
          <w:sz w:val="36"/>
          <w:szCs w:val="36"/>
        </w:rPr>
        <w:t>标准</w:t>
      </w:r>
      <w:r>
        <w:rPr>
          <w:rFonts w:hint="eastAsia"/>
          <w:b/>
          <w:sz w:val="36"/>
          <w:szCs w:val="36"/>
          <w:lang w:val="en-US" w:eastAsia="zh-CN"/>
        </w:rPr>
        <w:t>(</w:t>
      </w:r>
      <w:bookmarkStart w:id="0" w:name="_GoBack"/>
      <w:bookmarkEnd w:id="0"/>
      <w:r>
        <w:rPr>
          <w:rFonts w:hint="eastAsia"/>
          <w:b/>
          <w:sz w:val="36"/>
          <w:szCs w:val="36"/>
          <w:lang w:val="en-US" w:eastAsia="zh-CN"/>
        </w:rPr>
        <w:t>八）</w:t>
      </w:r>
    </w:p>
    <w:p>
      <w:pPr>
        <w:pStyle w:val="7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90F54"/>
    <w:rsid w:val="000A762D"/>
    <w:rsid w:val="000D7FF5"/>
    <w:rsid w:val="002867F5"/>
    <w:rsid w:val="002C0085"/>
    <w:rsid w:val="00323449"/>
    <w:rsid w:val="003633A7"/>
    <w:rsid w:val="003E468E"/>
    <w:rsid w:val="003F3C2F"/>
    <w:rsid w:val="004B06AB"/>
    <w:rsid w:val="0050328A"/>
    <w:rsid w:val="00582AFE"/>
    <w:rsid w:val="005853D6"/>
    <w:rsid w:val="005D3783"/>
    <w:rsid w:val="007B0351"/>
    <w:rsid w:val="00890F54"/>
    <w:rsid w:val="00CA18BC"/>
    <w:rsid w:val="00D0556A"/>
    <w:rsid w:val="00D347E7"/>
    <w:rsid w:val="00E34282"/>
    <w:rsid w:val="00E93CF4"/>
    <w:rsid w:val="00E96486"/>
    <w:rsid w:val="02922AD0"/>
    <w:rsid w:val="031E6EB2"/>
    <w:rsid w:val="25D77685"/>
    <w:rsid w:val="263D1564"/>
    <w:rsid w:val="29FD4C14"/>
    <w:rsid w:val="37D142F0"/>
    <w:rsid w:val="5FA57068"/>
    <w:rsid w:val="63DC1478"/>
    <w:rsid w:val="6BAD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13"/>
    <w:semiHidden/>
    <w:unhideWhenUsed/>
    <w:qFormat/>
    <w:uiPriority w:val="99"/>
    <w:pPr>
      <w:spacing w:after="120"/>
    </w:pPr>
  </w:style>
  <w:style w:type="paragraph" w:styleId="3">
    <w:name w:val="annotation text"/>
    <w:basedOn w:val="1"/>
    <w:link w:val="11"/>
    <w:qFormat/>
    <w:uiPriority w:val="99"/>
    <w:pPr>
      <w:jc w:val="left"/>
    </w:pPr>
    <w:rPr>
      <w:rFonts w:asciiTheme="minorHAnsi" w:hAnsiTheme="minorHAnsi" w:cstheme="minorBidi"/>
    </w:rPr>
  </w:style>
  <w:style w:type="paragraph" w:styleId="4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"/>
    <w:basedOn w:val="2"/>
    <w:qFormat/>
    <w:uiPriority w:val="0"/>
    <w:pPr>
      <w:ind w:firstLine="420" w:firstLineChars="1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批注文字 Char"/>
    <w:link w:val="3"/>
    <w:qFormat/>
    <w:uiPriority w:val="99"/>
    <w:rPr>
      <w:rFonts w:eastAsia="宋体"/>
      <w:szCs w:val="24"/>
    </w:rPr>
  </w:style>
  <w:style w:type="character" w:customStyle="1" w:styleId="12">
    <w:name w:val="批注文字 Char1"/>
    <w:basedOn w:val="10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3">
    <w:name w:val="正文文本 Char"/>
    <w:basedOn w:val="10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4">
    <w:name w:val="页眉 Char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脚 Char"/>
    <w:basedOn w:val="10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批注框文本 Char"/>
    <w:basedOn w:val="10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509</Characters>
  <Lines>4</Lines>
  <Paragraphs>1</Paragraphs>
  <TotalTime>1</TotalTime>
  <ScaleCrop>false</ScaleCrop>
  <LinksUpToDate>false</LinksUpToDate>
  <CharactersWithSpaces>597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2020-05-27T09:05:00Z</dcterms:created>
  <dc:creator>Administrator</dc:creator>
  <cp:lastModifiedBy>adminstrator</cp:lastModifiedBy>
  <cp:lastPrinted>2020-07-28T06:42:00Z</cp:lastPrinted>
  <dcterms:modified xsi:type="dcterms:W3CDTF">2020-09-22T01:20:50Z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