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690"/>
        <w:gridCol w:w="3930"/>
        <w:gridCol w:w="2325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69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93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32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报价 30%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满足竞选文件要求且竞选价格最低的竞选报价为评标基准价，其价格分为30分。其他投标单位的价格分统一按照下列公式计算：竞选报价得分=(评标基准价／投标报价)×30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技术指标主要条款52.5%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52.5</w:t>
            </w:r>
          </w:p>
        </w:tc>
        <w:tc>
          <w:tcPr>
            <w:tcW w:w="393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技术指标完全符合竞选文件要求没有负偏离得52.5分，技术指标不满足竞选文件要求负偏离一项扣1.5分，扣完为止。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交货实施方案和售后服务6%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int="default" w:hAnsi="宋体" w:eastAsia="宋体"/>
                <w:lang w:val="en-US" w:eastAsia="zh-CN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</w:t>
            </w:r>
            <w:r>
              <w:rPr>
                <w:rFonts w:hint="eastAsia" w:hAnsi="宋体"/>
                <w:lang w:val="en-US" w:eastAsia="zh-CN"/>
              </w:rPr>
              <w:t>货物符合国家药品监督管理局的相关要求，并按买方要求安排送货。</w:t>
            </w:r>
            <w:bookmarkStart w:id="0" w:name="_GoBack"/>
            <w:bookmarkEnd w:id="0"/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以上项目符合一项得1.5分，最多得6分。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样品质量9%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9分</w:t>
            </w:r>
          </w:p>
        </w:tc>
        <w:tc>
          <w:tcPr>
            <w:tcW w:w="3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产品质量：现场查看样品的质量（</w:t>
            </w:r>
            <w:r>
              <w:rPr>
                <w:rFonts w:ascii="宋体" w:hAnsi="宋体" w:cs="宋体"/>
                <w:kern w:val="0"/>
                <w:szCs w:val="21"/>
              </w:rPr>
              <w:t>①</w:t>
            </w:r>
            <w:r>
              <w:rPr>
                <w:rFonts w:hint="eastAsia" w:ascii="宋体" w:hAnsi="宋体" w:cs="宋体"/>
                <w:kern w:val="0"/>
                <w:szCs w:val="21"/>
              </w:rPr>
              <w:t>铅当量分布均匀、超轻、超薄、超柔。</w:t>
            </w:r>
            <w:r>
              <w:rPr>
                <w:rFonts w:ascii="宋体" w:hAnsi="宋体" w:cs="宋体"/>
                <w:kern w:val="0"/>
                <w:szCs w:val="21"/>
              </w:rPr>
              <w:t>②</w:t>
            </w:r>
            <w:r>
              <w:rPr>
                <w:rFonts w:hint="eastAsia" w:ascii="宋体" w:hAnsi="宋体" w:cs="宋体"/>
                <w:kern w:val="0"/>
                <w:szCs w:val="21"/>
              </w:rPr>
              <w:t>穿戴方便、丰富的样式、尺码和颜色</w:t>
            </w:r>
            <w:r>
              <w:rPr>
                <w:rFonts w:ascii="宋体" w:hAnsi="宋体" w:cs="宋体"/>
                <w:kern w:val="0"/>
                <w:szCs w:val="21"/>
              </w:rPr>
              <w:t>③</w:t>
            </w:r>
            <w:r>
              <w:rPr>
                <w:rFonts w:hint="eastAsia" w:ascii="宋体" w:hAnsi="宋体" w:cs="宋体"/>
                <w:kern w:val="0"/>
                <w:szCs w:val="21"/>
              </w:rPr>
              <w:t>做工精细、结实耐用等）进行综合评审，一项不足扣3分，未提供的不得分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响应文件的规范性2.5%（共同评分因素）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2.5分</w:t>
            </w:r>
          </w:p>
        </w:tc>
        <w:tc>
          <w:tcPr>
            <w:tcW w:w="3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响应文件制作规范，没有细微偏差情形的得2.5分；有一项细微偏差扣0.5分，直至该项分值扣完为止。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ind w:firstLine="2891" w:firstLineChars="8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</w:rPr>
        <w:t>(项目三）</w:t>
      </w:r>
    </w:p>
    <w:p>
      <w:pPr>
        <w:rPr>
          <w:b/>
          <w:sz w:val="36"/>
          <w:szCs w:val="36"/>
        </w:rPr>
      </w:pPr>
    </w:p>
    <w:p>
      <w:pPr>
        <w:pStyle w:val="2"/>
        <w:rPr>
          <w:b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633A7"/>
    <w:rsid w:val="003C3C4F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555B"/>
    <w:rsid w:val="00E96486"/>
    <w:rsid w:val="02922AD0"/>
    <w:rsid w:val="031E6EB2"/>
    <w:rsid w:val="072456F7"/>
    <w:rsid w:val="2838123A"/>
    <w:rsid w:val="5FA57068"/>
    <w:rsid w:val="60273FC0"/>
    <w:rsid w:val="62171AB5"/>
    <w:rsid w:val="63DC1478"/>
    <w:rsid w:val="6AB0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9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文字 Char"/>
    <w:link w:val="3"/>
    <w:qFormat/>
    <w:uiPriority w:val="99"/>
    <w:rPr>
      <w:rFonts w:eastAsia="宋体"/>
      <w:szCs w:val="24"/>
    </w:rPr>
  </w:style>
  <w:style w:type="character" w:customStyle="1" w:styleId="10">
    <w:name w:val="批注文字 Char1"/>
    <w:basedOn w:val="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99</Words>
  <Characters>570</Characters>
  <Lines>4</Lines>
  <Paragraphs>1</Paragraphs>
  <TotalTime>7</TotalTime>
  <ScaleCrop>false</ScaleCrop>
  <LinksUpToDate>false</LinksUpToDate>
  <CharactersWithSpaces>668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余小黑不二黑</cp:lastModifiedBy>
  <cp:lastPrinted>2020-07-28T06:42:00Z</cp:lastPrinted>
  <dcterms:modified xsi:type="dcterms:W3CDTF">2020-10-25T04:37:37Z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