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8"/>
        <w:tblpPr w:leftFromText="180" w:rightFromText="180" w:vertAnchor="page" w:horzAnchor="page" w:tblpX="822" w:tblpY="2643"/>
        <w:tblW w:w="10242" w:type="dxa"/>
        <w:tblInd w:w="0" w:type="dxa"/>
        <w:tblLayout w:type="fixed"/>
        <w:tblCellMar>
          <w:top w:w="0" w:type="dxa"/>
          <w:left w:w="108" w:type="dxa"/>
          <w:bottom w:w="0" w:type="dxa"/>
          <w:right w:w="108" w:type="dxa"/>
        </w:tblCellMar>
      </w:tblPr>
      <w:tblGrid>
        <w:gridCol w:w="635"/>
        <w:gridCol w:w="1095"/>
        <w:gridCol w:w="570"/>
        <w:gridCol w:w="5392"/>
        <w:gridCol w:w="1275"/>
        <w:gridCol w:w="1275"/>
      </w:tblGrid>
      <w:tr>
        <w:tblPrEx>
          <w:tblCellMar>
            <w:top w:w="0" w:type="dxa"/>
            <w:left w:w="108" w:type="dxa"/>
            <w:bottom w:w="0" w:type="dxa"/>
            <w:right w:w="108" w:type="dxa"/>
          </w:tblCellMar>
        </w:tblPrEx>
        <w:trPr>
          <w:trHeight w:val="725" w:hRule="atLeast"/>
        </w:trPr>
        <w:tc>
          <w:tcPr>
            <w:tcW w:w="63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序号</w:t>
            </w:r>
          </w:p>
        </w:tc>
        <w:tc>
          <w:tcPr>
            <w:tcW w:w="1095" w:type="dxa"/>
            <w:tcBorders>
              <w:top w:val="single" w:color="auto" w:sz="8" w:space="0"/>
              <w:left w:val="nil"/>
              <w:bottom w:val="single" w:color="auto" w:sz="4" w:space="0"/>
              <w:right w:val="single" w:color="auto" w:sz="8" w:space="0"/>
            </w:tcBorders>
            <w:vAlign w:val="center"/>
          </w:tcPr>
          <w:p>
            <w:pPr>
              <w:widowControl/>
              <w:rPr>
                <w:rFonts w:ascii="宋体" w:hAnsi="宋体" w:cs="宋体"/>
                <w:kern w:val="0"/>
                <w:szCs w:val="21"/>
              </w:rPr>
            </w:pPr>
            <w:r>
              <w:rPr>
                <w:rFonts w:hint="eastAsia" w:ascii="宋体" w:hAnsi="宋体" w:cs="宋体"/>
                <w:kern w:val="0"/>
                <w:szCs w:val="21"/>
              </w:rPr>
              <w:t>评分因素</w:t>
            </w:r>
          </w:p>
          <w:p>
            <w:pPr>
              <w:rPr>
                <w:rFonts w:ascii="宋体" w:hAnsi="宋体" w:cs="宋体"/>
                <w:kern w:val="0"/>
                <w:szCs w:val="21"/>
              </w:rPr>
            </w:pPr>
            <w:r>
              <w:rPr>
                <w:rFonts w:hint="eastAsia" w:ascii="宋体" w:hAnsi="宋体" w:cs="宋体"/>
                <w:kern w:val="0"/>
                <w:szCs w:val="21"/>
              </w:rPr>
              <w:t>及权重</w:t>
            </w:r>
          </w:p>
        </w:tc>
        <w:tc>
          <w:tcPr>
            <w:tcW w:w="570" w:type="dxa"/>
            <w:tcBorders>
              <w:top w:val="single" w:color="auto" w:sz="8" w:space="0"/>
              <w:left w:val="single" w:color="auto" w:sz="8" w:space="0"/>
              <w:bottom w:val="single" w:color="auto" w:sz="4"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分　值</w:t>
            </w:r>
          </w:p>
        </w:tc>
        <w:tc>
          <w:tcPr>
            <w:tcW w:w="5392"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评分标准</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hint="eastAsia" w:ascii="宋体" w:hAnsi="宋体" w:eastAsia="宋体" w:cs="宋体"/>
                <w:kern w:val="0"/>
                <w:szCs w:val="21"/>
                <w:lang w:eastAsia="zh-CN"/>
              </w:rPr>
            </w:pPr>
            <w:r>
              <w:rPr>
                <w:rFonts w:hint="eastAsia" w:ascii="宋体" w:hAnsi="宋体" w:cs="宋体"/>
                <w:kern w:val="0"/>
                <w:szCs w:val="21"/>
                <w:lang w:eastAsia="zh-CN"/>
              </w:rPr>
              <w:t>说明</w:t>
            </w:r>
          </w:p>
        </w:tc>
        <w:tc>
          <w:tcPr>
            <w:tcW w:w="1275" w:type="dxa"/>
            <w:tcBorders>
              <w:top w:val="single" w:color="auto" w:sz="8" w:space="0"/>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备注</w:t>
            </w:r>
          </w:p>
        </w:tc>
      </w:tr>
      <w:tr>
        <w:tblPrEx>
          <w:tblCellMar>
            <w:top w:w="0" w:type="dxa"/>
            <w:left w:w="108" w:type="dxa"/>
            <w:bottom w:w="0" w:type="dxa"/>
            <w:right w:w="108" w:type="dxa"/>
          </w:tblCellMar>
        </w:tblPrEx>
        <w:trPr>
          <w:trHeight w:val="3084" w:hRule="atLeast"/>
        </w:trPr>
        <w:tc>
          <w:tcPr>
            <w:tcW w:w="635" w:type="dxa"/>
            <w:tcBorders>
              <w:top w:val="nil"/>
              <w:left w:val="single" w:color="auto" w:sz="8" w:space="0"/>
              <w:bottom w:val="single" w:color="000000" w:sz="8" w:space="0"/>
              <w:right w:val="single" w:color="auto" w:sz="8" w:space="0"/>
            </w:tcBorders>
            <w:vAlign w:val="center"/>
          </w:tcPr>
          <w:p>
            <w:pPr>
              <w:pStyle w:val="4"/>
              <w:jc w:val="center"/>
              <w:rPr>
                <w:rFonts w:ascii="宋体" w:hAnsi="宋体" w:cs="宋体"/>
                <w:kern w:val="0"/>
                <w:szCs w:val="21"/>
              </w:rPr>
            </w:pPr>
            <w:r>
              <w:rPr>
                <w:rFonts w:hint="eastAsia" w:ascii="宋体" w:hAnsi="宋体" w:cs="宋体"/>
                <w:kern w:val="0"/>
                <w:szCs w:val="21"/>
              </w:rPr>
              <w:t>1</w:t>
            </w:r>
          </w:p>
        </w:tc>
        <w:tc>
          <w:tcPr>
            <w:tcW w:w="1095" w:type="dxa"/>
            <w:tcBorders>
              <w:top w:val="single" w:color="auto" w:sz="4" w:space="0"/>
              <w:left w:val="single" w:color="auto" w:sz="8" w:space="0"/>
              <w:bottom w:val="single" w:color="000000" w:sz="8" w:space="0"/>
              <w:right w:val="single" w:color="auto" w:sz="8" w:space="0"/>
            </w:tcBorders>
            <w:vAlign w:val="center"/>
          </w:tcPr>
          <w:p>
            <w:pPr>
              <w:pStyle w:val="4"/>
              <w:rPr>
                <w:rFonts w:hint="eastAsia" w:ascii="宋体" w:hAnsi="宋体" w:cs="宋体"/>
                <w:kern w:val="0"/>
                <w:szCs w:val="21"/>
              </w:rPr>
            </w:pPr>
            <w:r>
              <w:rPr>
                <w:rFonts w:hint="eastAsia" w:ascii="宋体" w:hAnsi="宋体" w:cs="宋体"/>
                <w:kern w:val="0"/>
                <w:szCs w:val="21"/>
              </w:rPr>
              <w:t>报价</w:t>
            </w:r>
            <w:r>
              <w:rPr>
                <w:rFonts w:hint="eastAsia" w:ascii="宋体" w:hAnsi="宋体" w:cs="宋体"/>
                <w:kern w:val="0"/>
                <w:szCs w:val="21"/>
                <w:lang w:eastAsia="zh-CN"/>
              </w:rPr>
              <w:t>（主要评分因素）</w:t>
            </w:r>
            <w:r>
              <w:rPr>
                <w:rFonts w:hint="eastAsia" w:ascii="宋体" w:hAnsi="宋体" w:cs="宋体"/>
                <w:kern w:val="0"/>
                <w:szCs w:val="21"/>
              </w:rPr>
              <w:t xml:space="preserve"> </w:t>
            </w:r>
            <w:r>
              <w:rPr>
                <w:rFonts w:hint="eastAsia" w:ascii="宋体" w:hAnsi="宋体" w:cs="宋体"/>
                <w:kern w:val="0"/>
                <w:szCs w:val="21"/>
                <w:lang w:val="en-US" w:eastAsia="zh-CN"/>
              </w:rPr>
              <w:t>43</w:t>
            </w:r>
            <w:r>
              <w:rPr>
                <w:rFonts w:hint="eastAsia" w:ascii="宋体" w:hAnsi="宋体" w:cs="宋体"/>
                <w:kern w:val="0"/>
                <w:szCs w:val="21"/>
              </w:rPr>
              <w:t>%</w:t>
            </w:r>
          </w:p>
        </w:tc>
        <w:tc>
          <w:tcPr>
            <w:tcW w:w="570" w:type="dxa"/>
            <w:tcBorders>
              <w:top w:val="single" w:color="auto" w:sz="4" w:space="0"/>
              <w:left w:val="single" w:color="auto" w:sz="8" w:space="0"/>
              <w:bottom w:val="single" w:color="auto" w:sz="4" w:space="0"/>
              <w:right w:val="single" w:color="auto" w:sz="8" w:space="0"/>
            </w:tcBorders>
            <w:vAlign w:val="center"/>
          </w:tcPr>
          <w:p>
            <w:pPr>
              <w:pStyle w:val="4"/>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43</w:t>
            </w:r>
          </w:p>
        </w:tc>
        <w:tc>
          <w:tcPr>
            <w:tcW w:w="5392" w:type="dxa"/>
            <w:tcBorders>
              <w:top w:val="nil"/>
              <w:left w:val="nil"/>
              <w:bottom w:val="single" w:color="auto" w:sz="4" w:space="0"/>
              <w:right w:val="single" w:color="auto" w:sz="8" w:space="0"/>
            </w:tcBorders>
            <w:vAlign w:val="center"/>
          </w:tcPr>
          <w:p>
            <w:pPr>
              <w:pStyle w:val="4"/>
              <w:rPr>
                <w:rFonts w:hint="eastAsia" w:ascii="宋体" w:hAnsi="宋体" w:cs="宋体"/>
                <w:kern w:val="0"/>
                <w:szCs w:val="21"/>
              </w:rPr>
            </w:pPr>
            <w:r>
              <w:rPr>
                <w:rFonts w:hint="eastAsia" w:ascii="宋体" w:hAnsi="宋体" w:cs="宋体"/>
                <w:kern w:val="0"/>
                <w:szCs w:val="21"/>
              </w:rPr>
              <w:t>统一采用低价优先法计算，即该品种满足竞选文件要求且竞选价格最低的竞选报价为评标基准价，其价格分为</w:t>
            </w:r>
            <w:r>
              <w:rPr>
                <w:rFonts w:hint="eastAsia" w:ascii="宋体" w:hAnsi="宋体" w:cs="宋体"/>
                <w:kern w:val="0"/>
                <w:szCs w:val="21"/>
                <w:lang w:val="en-US" w:eastAsia="zh-CN"/>
              </w:rPr>
              <w:t>43</w:t>
            </w:r>
            <w:r>
              <w:rPr>
                <w:rFonts w:hint="eastAsia" w:ascii="宋体" w:hAnsi="宋体" w:cs="宋体"/>
                <w:kern w:val="0"/>
                <w:szCs w:val="21"/>
              </w:rPr>
              <w:t>分。其他投标单位的价格分统一按照下列公式计算：竞选报价得分=(评标基准价／投标报价)×</w:t>
            </w:r>
            <w:r>
              <w:rPr>
                <w:rFonts w:hint="eastAsia" w:ascii="宋体" w:hAnsi="宋体" w:cs="宋体"/>
                <w:kern w:val="0"/>
                <w:szCs w:val="21"/>
                <w:lang w:val="en-US" w:eastAsia="zh-CN"/>
              </w:rPr>
              <w:t>43</w:t>
            </w:r>
            <w:r>
              <w:rPr>
                <w:rFonts w:hint="eastAsia" w:ascii="宋体" w:hAnsi="宋体" w:cs="宋体"/>
                <w:kern w:val="0"/>
                <w:szCs w:val="21"/>
              </w:rPr>
              <w:t>%×100。</w:t>
            </w: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lang w:eastAsia="zh-CN"/>
              </w:rPr>
            </w:pPr>
          </w:p>
        </w:tc>
        <w:tc>
          <w:tcPr>
            <w:tcW w:w="1275" w:type="dxa"/>
            <w:tcBorders>
              <w:top w:val="nil"/>
              <w:left w:val="nil"/>
              <w:bottom w:val="single" w:color="auto" w:sz="4" w:space="0"/>
              <w:right w:val="single" w:color="auto" w:sz="8" w:space="0"/>
            </w:tcBorders>
            <w:vAlign w:val="center"/>
          </w:tcPr>
          <w:p>
            <w:pPr>
              <w:pStyle w:val="4"/>
              <w:jc w:val="center"/>
              <w:rPr>
                <w:rFonts w:hint="eastAsia" w:ascii="宋体" w:hAnsi="宋体" w:cs="宋体"/>
                <w:kern w:val="0"/>
                <w:szCs w:val="21"/>
              </w:rPr>
            </w:pPr>
            <w:r>
              <w:rPr>
                <w:rFonts w:hint="eastAsia" w:ascii="宋体" w:hAnsi="宋体" w:cs="宋体"/>
                <w:kern w:val="0"/>
                <w:szCs w:val="21"/>
                <w:lang w:eastAsia="zh-CN"/>
              </w:rPr>
              <w:t>共同评分因素</w:t>
            </w:r>
          </w:p>
        </w:tc>
      </w:tr>
      <w:tr>
        <w:tblPrEx>
          <w:tblCellMar>
            <w:top w:w="0" w:type="dxa"/>
            <w:left w:w="108" w:type="dxa"/>
            <w:bottom w:w="0" w:type="dxa"/>
            <w:right w:w="108" w:type="dxa"/>
          </w:tblCellMar>
        </w:tblPrEx>
        <w:trPr>
          <w:trHeight w:val="1705" w:hRule="atLeast"/>
        </w:trPr>
        <w:tc>
          <w:tcPr>
            <w:tcW w:w="635" w:type="dxa"/>
            <w:tcBorders>
              <w:top w:val="nil"/>
              <w:left w:val="single" w:color="auto" w:sz="8" w:space="0"/>
              <w:bottom w:val="single" w:color="000000" w:sz="8" w:space="0"/>
              <w:right w:val="single" w:color="auto" w:sz="8" w:space="0"/>
            </w:tcBorders>
            <w:vAlign w:val="center"/>
          </w:tcPr>
          <w:p>
            <w:pPr>
              <w:widowControl/>
              <w:jc w:val="center"/>
              <w:rPr>
                <w:rFonts w:ascii="宋体" w:hAnsi="宋体" w:cs="宋体"/>
                <w:kern w:val="0"/>
                <w:szCs w:val="21"/>
              </w:rPr>
            </w:pPr>
            <w:r>
              <w:rPr>
                <w:rFonts w:hint="eastAsia" w:ascii="宋体" w:hAnsi="宋体" w:cs="宋体"/>
                <w:kern w:val="0"/>
                <w:szCs w:val="21"/>
              </w:rPr>
              <w:t>2</w:t>
            </w:r>
          </w:p>
        </w:tc>
        <w:tc>
          <w:tcPr>
            <w:tcW w:w="1095" w:type="dxa"/>
            <w:tcBorders>
              <w:top w:val="nil"/>
              <w:left w:val="nil"/>
              <w:bottom w:val="single" w:color="auto" w:sz="4" w:space="0"/>
              <w:right w:val="single" w:color="auto" w:sz="8" w:space="0"/>
            </w:tcBorders>
            <w:vAlign w:val="center"/>
          </w:tcPr>
          <w:p>
            <w:pPr>
              <w:widowControl/>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技术指标主要条款（主要评分因素）42%</w:t>
            </w:r>
          </w:p>
        </w:tc>
        <w:tc>
          <w:tcPr>
            <w:tcW w:w="570" w:type="dxa"/>
            <w:tcBorders>
              <w:top w:val="single" w:color="auto" w:sz="4" w:space="0"/>
              <w:left w:val="single" w:color="auto" w:sz="8" w:space="0"/>
              <w:bottom w:val="single" w:color="auto" w:sz="4" w:space="0"/>
              <w:right w:val="single" w:color="auto" w:sz="8" w:space="0"/>
            </w:tcBorders>
            <w:vAlign w:val="center"/>
          </w:tcPr>
          <w:p>
            <w:pPr>
              <w:widowControl/>
              <w:jc w:val="center"/>
              <w:rPr>
                <w:rFonts w:hint="default" w:ascii="宋体" w:hAnsi="宋体" w:eastAsia="宋体" w:cs="宋体"/>
                <w:kern w:val="0"/>
                <w:szCs w:val="21"/>
                <w:lang w:val="en-US" w:eastAsia="zh-CN"/>
              </w:rPr>
            </w:pPr>
            <w:r>
              <w:rPr>
                <w:rFonts w:hint="eastAsia" w:ascii="宋体" w:hAnsi="宋体" w:cs="宋体"/>
                <w:kern w:val="0"/>
                <w:szCs w:val="21"/>
                <w:lang w:val="en-US" w:eastAsia="zh-CN"/>
              </w:rPr>
              <w:t>42</w:t>
            </w:r>
          </w:p>
        </w:tc>
        <w:tc>
          <w:tcPr>
            <w:tcW w:w="5392" w:type="dxa"/>
            <w:tcBorders>
              <w:top w:val="single" w:color="auto" w:sz="4" w:space="0"/>
              <w:left w:val="single" w:color="auto" w:sz="8" w:space="0"/>
              <w:bottom w:val="single" w:color="000000" w:sz="8" w:space="0"/>
              <w:right w:val="single" w:color="auto" w:sz="8" w:space="0"/>
            </w:tcBorders>
            <w:vAlign w:val="center"/>
          </w:tcPr>
          <w:p>
            <w:pPr>
              <w:adjustRightInd w:val="0"/>
              <w:spacing w:line="240" w:lineRule="atLeas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技术指标完全符合竞选文件要求没有负偏离得</w:t>
            </w:r>
            <w:r>
              <w:rPr>
                <w:rFonts w:hint="eastAsia" w:ascii="宋体" w:hAnsi="宋体" w:cs="宋体"/>
                <w:kern w:val="0"/>
                <w:sz w:val="21"/>
                <w:szCs w:val="21"/>
                <w:lang w:val="en-US" w:eastAsia="zh-CN" w:bidi="ar-SA"/>
              </w:rPr>
              <w:t>42</w:t>
            </w:r>
            <w:r>
              <w:rPr>
                <w:rFonts w:hint="eastAsia" w:ascii="宋体" w:hAnsi="宋体" w:eastAsia="宋体" w:cs="宋体"/>
                <w:kern w:val="0"/>
                <w:sz w:val="21"/>
                <w:szCs w:val="21"/>
                <w:lang w:val="en-US" w:eastAsia="zh-CN" w:bidi="ar-SA"/>
              </w:rPr>
              <w:t>分，技术指标不满足竞选文件要求负偏离一项扣</w:t>
            </w:r>
            <w:r>
              <w:rPr>
                <w:rFonts w:hint="eastAsia" w:ascii="宋体" w:hAnsi="宋体" w:cs="宋体"/>
                <w:kern w:val="0"/>
                <w:sz w:val="21"/>
                <w:szCs w:val="21"/>
                <w:lang w:val="en-US" w:eastAsia="zh-CN" w:bidi="ar-SA"/>
              </w:rPr>
              <w:t>7</w:t>
            </w:r>
            <w:r>
              <w:rPr>
                <w:rFonts w:hint="eastAsia" w:ascii="宋体" w:hAnsi="宋体" w:eastAsia="宋体" w:cs="宋体"/>
                <w:kern w:val="0"/>
                <w:sz w:val="21"/>
                <w:szCs w:val="21"/>
                <w:lang w:val="en-US" w:eastAsia="zh-CN" w:bidi="ar-SA"/>
              </w:rPr>
              <w:t>分，扣完为止。</w:t>
            </w:r>
          </w:p>
          <w:p>
            <w:pPr>
              <w:pStyle w:val="2"/>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竞选人需提供技术支撑材料，并在技术响应偏离表中注明，否则不予认定。</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default" w:ascii="Times New Roman" w:hAnsi="Times New Roman" w:eastAsia="宋体" w:cs="Times New Roman"/>
                <w:i w:val="0"/>
                <w:caps w:val="0"/>
                <w:color w:val="000000"/>
                <w:spacing w:val="0"/>
                <w:sz w:val="21"/>
                <w:szCs w:val="21"/>
                <w:shd w:val="clear" w:fill="FFFFFF"/>
              </w:rPr>
              <w:t>竞选人需提供技术支撑材料，并在技术响应偏离表中注明，否则不予认定</w:t>
            </w:r>
          </w:p>
        </w:tc>
        <w:tc>
          <w:tcPr>
            <w:tcW w:w="1275" w:type="dxa"/>
            <w:tcBorders>
              <w:top w:val="single" w:color="auto" w:sz="4" w:space="0"/>
              <w:left w:val="single" w:color="auto" w:sz="8" w:space="0"/>
              <w:bottom w:val="single" w:color="000000" w:sz="8"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技术类评分因素</w:t>
            </w:r>
          </w:p>
        </w:tc>
      </w:tr>
      <w:tr>
        <w:tblPrEx>
          <w:tblCellMar>
            <w:top w:w="0" w:type="dxa"/>
            <w:left w:w="108" w:type="dxa"/>
            <w:bottom w:w="0" w:type="dxa"/>
            <w:right w:w="108" w:type="dxa"/>
          </w:tblCellMar>
        </w:tblPrEx>
        <w:trPr>
          <w:trHeight w:val="988" w:hRule="atLeast"/>
        </w:trPr>
        <w:tc>
          <w:tcPr>
            <w:tcW w:w="635" w:type="dxa"/>
            <w:tcBorders>
              <w:top w:val="nil"/>
              <w:left w:val="single" w:color="auto" w:sz="8" w:space="0"/>
              <w:bottom w:val="single" w:color="auto" w:sz="4" w:space="0"/>
              <w:right w:val="single" w:color="auto" w:sz="8" w:space="0"/>
            </w:tcBorders>
            <w:vAlign w:val="center"/>
          </w:tcPr>
          <w:p>
            <w:pPr>
              <w:widowControl/>
              <w:jc w:val="center"/>
              <w:rPr>
                <w:rFonts w:hint="eastAsia" w:ascii="宋体" w:hAnsi="宋体" w:eastAsia="宋体" w:cs="宋体"/>
                <w:kern w:val="0"/>
                <w:szCs w:val="21"/>
                <w:lang w:val="en-US" w:eastAsia="zh-CN"/>
              </w:rPr>
            </w:pPr>
            <w:r>
              <w:rPr>
                <w:rFonts w:hint="eastAsia" w:ascii="宋体" w:hAnsi="宋体" w:cs="宋体"/>
                <w:kern w:val="0"/>
                <w:szCs w:val="21"/>
                <w:lang w:val="en-US" w:eastAsia="zh-CN"/>
              </w:rPr>
              <w:t>3</w:t>
            </w:r>
          </w:p>
        </w:tc>
        <w:tc>
          <w:tcPr>
            <w:tcW w:w="1095" w:type="dxa"/>
            <w:tcBorders>
              <w:top w:val="single" w:color="auto" w:sz="4" w:space="0"/>
              <w:left w:val="nil"/>
              <w:bottom w:val="single" w:color="auto" w:sz="4" w:space="0"/>
              <w:right w:val="single" w:color="auto" w:sz="8" w:space="0"/>
            </w:tcBorders>
            <w:vAlign w:val="center"/>
          </w:tcPr>
          <w:p>
            <w:pPr>
              <w:widowControl w:val="0"/>
              <w:jc w:val="center"/>
              <w:rPr>
                <w:rFonts w:hint="eastAsia" w:ascii="宋体" w:hAnsi="宋体" w:eastAsia="宋体" w:cs="宋体"/>
                <w:kern w:val="2"/>
                <w:sz w:val="21"/>
                <w:szCs w:val="24"/>
                <w:lang w:val="en-US" w:eastAsia="zh-CN" w:bidi="ar-SA"/>
              </w:rPr>
            </w:pPr>
            <w:r>
              <w:rPr>
                <w:rFonts w:hint="eastAsia" w:ascii="宋体" w:hAnsi="宋体" w:eastAsia="宋体" w:cs="宋体"/>
                <w:lang w:eastAsia="zh-CN"/>
              </w:rPr>
              <w:t>售后服务</w:t>
            </w:r>
            <w:r>
              <w:rPr>
                <w:rFonts w:hint="eastAsia" w:ascii="宋体" w:hAnsi="宋体" w:cs="宋体"/>
                <w:lang w:val="en-US" w:eastAsia="zh-CN"/>
              </w:rPr>
              <w:t>10</w:t>
            </w:r>
            <w:r>
              <w:rPr>
                <w:rFonts w:hint="eastAsia" w:ascii="宋体" w:hAnsi="宋体" w:eastAsia="宋体" w:cs="宋体"/>
                <w:lang w:eastAsia="zh-CN"/>
              </w:rPr>
              <w:t>%</w:t>
            </w:r>
          </w:p>
        </w:tc>
        <w:tc>
          <w:tcPr>
            <w:tcW w:w="570" w:type="dxa"/>
            <w:tcBorders>
              <w:top w:val="single" w:color="auto" w:sz="4" w:space="0"/>
              <w:left w:val="nil"/>
              <w:bottom w:val="single" w:color="auto" w:sz="4" w:space="0"/>
              <w:right w:val="single" w:color="auto" w:sz="8" w:space="0"/>
            </w:tcBorders>
            <w:vAlign w:val="center"/>
          </w:tcPr>
          <w:p>
            <w:pPr>
              <w:widowControl w:val="0"/>
              <w:jc w:val="center"/>
              <w:rPr>
                <w:rFonts w:hint="default" w:ascii="宋体" w:hAnsi="宋体" w:eastAsia="宋体" w:cs="宋体"/>
                <w:kern w:val="2"/>
                <w:sz w:val="21"/>
                <w:szCs w:val="24"/>
                <w:lang w:val="en-US" w:eastAsia="zh-CN" w:bidi="ar-SA"/>
              </w:rPr>
            </w:pPr>
            <w:r>
              <w:rPr>
                <w:rFonts w:hint="eastAsia" w:ascii="宋体" w:hAnsi="宋体" w:cs="宋体"/>
                <w:lang w:val="en-US" w:eastAsia="zh-CN"/>
              </w:rPr>
              <w:t>10</w:t>
            </w:r>
          </w:p>
        </w:tc>
        <w:tc>
          <w:tcPr>
            <w:tcW w:w="5392" w:type="dxa"/>
            <w:tcBorders>
              <w:top w:val="nil"/>
              <w:left w:val="nil"/>
              <w:bottom w:val="single" w:color="auto" w:sz="4" w:space="0"/>
              <w:right w:val="single" w:color="auto" w:sz="8" w:space="0"/>
            </w:tcBorders>
            <w:vAlign w:val="center"/>
          </w:tcPr>
          <w:p>
            <w:pPr>
              <w:tabs>
                <w:tab w:val="left" w:pos="540"/>
              </w:tabs>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根据竞选人承诺的交货实施方案和响应时间、质量保证范围，售后服务体系等进行综合分析评分：1、有专人负责售后服务。2、承诺任何问题在接到电话后立即响应，并在24小时内处理。3、承诺产品质量问题无条件退货。承诺产品验收前，无条件破损退换。4、</w:t>
            </w:r>
            <w:bookmarkStart w:id="0" w:name="_GoBack"/>
            <w:bookmarkEnd w:id="0"/>
            <w:r>
              <w:rPr>
                <w:rFonts w:hint="eastAsia" w:ascii="宋体" w:hAnsi="宋体" w:eastAsia="宋体" w:cs="宋体"/>
                <w:kern w:val="0"/>
                <w:sz w:val="21"/>
                <w:szCs w:val="21"/>
                <w:lang w:val="en-US" w:eastAsia="zh-CN" w:bidi="ar-SA"/>
              </w:rPr>
              <w:t>按买方要求安排送货。以上项目符合1项得</w:t>
            </w:r>
            <w:r>
              <w:rPr>
                <w:rFonts w:hint="eastAsia" w:ascii="宋体" w:hAnsi="宋体" w:cs="宋体"/>
                <w:kern w:val="0"/>
                <w:sz w:val="21"/>
                <w:szCs w:val="21"/>
                <w:lang w:val="en-US" w:eastAsia="zh-CN" w:bidi="ar-SA"/>
              </w:rPr>
              <w:t>2.5</w:t>
            </w:r>
            <w:r>
              <w:rPr>
                <w:rFonts w:hint="eastAsia" w:ascii="宋体" w:hAnsi="宋体" w:eastAsia="宋体" w:cs="宋体"/>
                <w:kern w:val="0"/>
                <w:sz w:val="21"/>
                <w:szCs w:val="21"/>
                <w:lang w:val="en-US" w:eastAsia="zh-CN" w:bidi="ar-SA"/>
              </w:rPr>
              <w:t>分，最多</w:t>
            </w:r>
            <w:r>
              <w:rPr>
                <w:rFonts w:hint="eastAsia" w:ascii="宋体" w:hAnsi="宋体" w:cs="宋体"/>
                <w:kern w:val="0"/>
                <w:sz w:val="21"/>
                <w:szCs w:val="21"/>
                <w:lang w:val="en-US" w:eastAsia="zh-CN" w:bidi="ar-SA"/>
              </w:rPr>
              <w:t>10</w:t>
            </w:r>
            <w:r>
              <w:rPr>
                <w:rFonts w:hint="eastAsia" w:ascii="宋体" w:hAnsi="宋体" w:eastAsia="宋体" w:cs="宋体"/>
                <w:kern w:val="0"/>
                <w:sz w:val="21"/>
                <w:szCs w:val="21"/>
                <w:lang w:val="en-US" w:eastAsia="zh-CN" w:bidi="ar-SA"/>
              </w:rPr>
              <w:t>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nil"/>
              <w:left w:val="nil"/>
              <w:bottom w:val="single" w:color="auto" w:sz="4" w:space="0"/>
              <w:right w:val="single" w:color="auto" w:sz="8"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r>
        <w:tblPrEx>
          <w:tblCellMar>
            <w:top w:w="0" w:type="dxa"/>
            <w:left w:w="108" w:type="dxa"/>
            <w:bottom w:w="0" w:type="dxa"/>
            <w:right w:w="108" w:type="dxa"/>
          </w:tblCellMar>
        </w:tblPrEx>
        <w:trPr>
          <w:trHeight w:val="988" w:hRule="atLeast"/>
        </w:trPr>
        <w:tc>
          <w:tcPr>
            <w:tcW w:w="635" w:type="dxa"/>
            <w:tcBorders>
              <w:top w:val="single" w:color="auto" w:sz="4" w:space="0"/>
              <w:left w:val="single" w:color="auto" w:sz="4" w:space="0"/>
              <w:bottom w:val="single" w:color="auto" w:sz="4" w:space="0"/>
              <w:right w:val="single" w:color="auto" w:sz="4" w:space="0"/>
            </w:tcBorders>
            <w:vAlign w:val="center"/>
          </w:tcPr>
          <w:p>
            <w:pPr>
              <w:ind w:firstLine="210" w:firstLineChars="100"/>
              <w:jc w:val="left"/>
              <w:rPr>
                <w:rFonts w:hint="default"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4</w:t>
            </w:r>
          </w:p>
        </w:tc>
        <w:tc>
          <w:tcPr>
            <w:tcW w:w="1095"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cs="宋体"/>
                <w:kern w:val="0"/>
                <w:szCs w:val="21"/>
              </w:rPr>
              <w:t>响应文件的规范性</w:t>
            </w:r>
            <w:r>
              <w:rPr>
                <w:rFonts w:hint="eastAsia" w:ascii="宋体" w:hAnsi="宋体" w:cs="宋体"/>
                <w:kern w:val="0"/>
                <w:szCs w:val="21"/>
                <w:lang w:val="en-US" w:eastAsia="zh-CN"/>
              </w:rPr>
              <w:t>5</w:t>
            </w:r>
            <w:r>
              <w:rPr>
                <w:rFonts w:hint="eastAsia" w:ascii="宋体" w:hAnsi="宋体" w:cs="宋体"/>
                <w:kern w:val="0"/>
                <w:szCs w:val="21"/>
              </w:rPr>
              <w:t>%</w:t>
            </w:r>
          </w:p>
        </w:tc>
        <w:tc>
          <w:tcPr>
            <w:tcW w:w="57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kern w:val="0"/>
                <w:sz w:val="21"/>
                <w:szCs w:val="21"/>
                <w:lang w:val="en-US" w:eastAsia="zh-CN" w:bidi="ar-SA"/>
              </w:rPr>
            </w:pPr>
            <w:r>
              <w:rPr>
                <w:rFonts w:hint="eastAsia" w:ascii="宋体" w:hAnsi="宋体" w:cs="宋体"/>
                <w:kern w:val="0"/>
                <w:szCs w:val="21"/>
                <w:lang w:val="en-US" w:eastAsia="zh-CN"/>
              </w:rPr>
              <w:t>5</w:t>
            </w:r>
          </w:p>
        </w:tc>
        <w:tc>
          <w:tcPr>
            <w:tcW w:w="5392" w:type="dxa"/>
            <w:tcBorders>
              <w:top w:val="single" w:color="auto" w:sz="4" w:space="0"/>
              <w:left w:val="single" w:color="auto" w:sz="4" w:space="0"/>
              <w:bottom w:val="single" w:color="auto" w:sz="4" w:space="0"/>
              <w:right w:val="single" w:color="auto" w:sz="4" w:space="0"/>
            </w:tcBorders>
            <w:vAlign w:val="center"/>
          </w:tcPr>
          <w:p>
            <w:pPr>
              <w:jc w:val="left"/>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响应文件制作规范，没有细微偏差情形的得5分；有一项细微偏差扣1 分，直至该项分值扣完为止。</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cs="宋体"/>
                <w:kern w:val="0"/>
                <w:sz w:val="21"/>
                <w:szCs w:val="21"/>
                <w:lang w:val="en-US" w:eastAsia="zh-CN" w:bidi="ar-SA"/>
              </w:rPr>
              <w:t>以实际竞选文件为准</w:t>
            </w:r>
          </w:p>
        </w:tc>
        <w:tc>
          <w:tcPr>
            <w:tcW w:w="1275" w:type="dxa"/>
            <w:tcBorders>
              <w:top w:val="single" w:color="auto" w:sz="4" w:space="0"/>
              <w:left w:val="single" w:color="auto" w:sz="4" w:space="0"/>
              <w:bottom w:val="single" w:color="auto" w:sz="4" w:space="0"/>
              <w:right w:val="single" w:color="auto" w:sz="4" w:space="0"/>
            </w:tcBorders>
            <w:vAlign w:val="center"/>
          </w:tcPr>
          <w:p>
            <w:pPr>
              <w:adjustRightInd w:val="0"/>
              <w:jc w:val="center"/>
              <w:rPr>
                <w:rFonts w:hint="eastAsia" w:ascii="宋体" w:hAnsi="宋体" w:eastAsia="宋体" w:cs="宋体"/>
                <w:kern w:val="0"/>
                <w:sz w:val="21"/>
                <w:szCs w:val="21"/>
                <w:lang w:val="en-US" w:eastAsia="zh-CN" w:bidi="ar-SA"/>
              </w:rPr>
            </w:pPr>
            <w:r>
              <w:rPr>
                <w:rFonts w:hint="eastAsia" w:ascii="宋体" w:hAnsi="宋体" w:eastAsia="宋体" w:cs="宋体"/>
                <w:kern w:val="0"/>
                <w:sz w:val="21"/>
                <w:szCs w:val="21"/>
                <w:lang w:val="en-US" w:eastAsia="zh-CN" w:bidi="ar-SA"/>
              </w:rPr>
              <w:t>共同评分因素</w:t>
            </w:r>
          </w:p>
        </w:tc>
      </w:tr>
    </w:tbl>
    <w:p>
      <w:pPr>
        <w:pStyle w:val="2"/>
        <w:jc w:val="center"/>
        <w:rPr>
          <w:rFonts w:hint="eastAsia" w:eastAsia="宋体"/>
          <w:b/>
          <w:sz w:val="36"/>
          <w:szCs w:val="36"/>
          <w:lang w:val="en-US" w:eastAsia="zh-CN"/>
        </w:rPr>
      </w:pPr>
      <w:r>
        <w:rPr>
          <w:rFonts w:hint="eastAsia"/>
          <w:b/>
          <w:sz w:val="36"/>
          <w:szCs w:val="36"/>
          <w:lang w:val="en-US" w:eastAsia="zh-CN"/>
        </w:rPr>
        <w:t>康复治疗床（木质或钢架）</w:t>
      </w:r>
      <w:r>
        <w:rPr>
          <w:rFonts w:hint="eastAsia"/>
          <w:b/>
          <w:sz w:val="36"/>
          <w:szCs w:val="36"/>
        </w:rPr>
        <w:t>评分标</w:t>
      </w:r>
      <w:r>
        <w:rPr>
          <w:b/>
          <w:sz w:val="36"/>
          <w:szCs w:val="36"/>
        </w:rPr>
        <w:t>准</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0F54"/>
    <w:rsid w:val="000A762D"/>
    <w:rsid w:val="000D7FF5"/>
    <w:rsid w:val="002867F5"/>
    <w:rsid w:val="002C0085"/>
    <w:rsid w:val="00323449"/>
    <w:rsid w:val="003633A7"/>
    <w:rsid w:val="003E468E"/>
    <w:rsid w:val="003F3C2F"/>
    <w:rsid w:val="004B06AB"/>
    <w:rsid w:val="0050328A"/>
    <w:rsid w:val="00582AFE"/>
    <w:rsid w:val="005853D6"/>
    <w:rsid w:val="005D3783"/>
    <w:rsid w:val="007B0351"/>
    <w:rsid w:val="00890F54"/>
    <w:rsid w:val="0093325D"/>
    <w:rsid w:val="00CA18BC"/>
    <w:rsid w:val="00D0556A"/>
    <w:rsid w:val="00D347E7"/>
    <w:rsid w:val="00E34282"/>
    <w:rsid w:val="00E93CF4"/>
    <w:rsid w:val="00E96486"/>
    <w:rsid w:val="02922AD0"/>
    <w:rsid w:val="031E6EB2"/>
    <w:rsid w:val="04E16678"/>
    <w:rsid w:val="0A0656E1"/>
    <w:rsid w:val="21A629CF"/>
    <w:rsid w:val="263D1564"/>
    <w:rsid w:val="29722BAF"/>
    <w:rsid w:val="297F3D14"/>
    <w:rsid w:val="29FD4C14"/>
    <w:rsid w:val="2B253E56"/>
    <w:rsid w:val="41966202"/>
    <w:rsid w:val="41C6092D"/>
    <w:rsid w:val="4DDF21A3"/>
    <w:rsid w:val="552B28FE"/>
    <w:rsid w:val="5FA57068"/>
    <w:rsid w:val="61EC17D1"/>
    <w:rsid w:val="63DC1478"/>
    <w:rsid w:val="721D10F3"/>
    <w:rsid w:val="79223063"/>
    <w:rsid w:val="79302B00"/>
    <w:rsid w:val="7C173C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link w:val="13"/>
    <w:semiHidden/>
    <w:unhideWhenUsed/>
    <w:qFormat/>
    <w:uiPriority w:val="99"/>
    <w:pPr>
      <w:spacing w:after="120"/>
    </w:pPr>
  </w:style>
  <w:style w:type="paragraph" w:styleId="3">
    <w:name w:val="Body Text First Indent"/>
    <w:basedOn w:val="2"/>
    <w:qFormat/>
    <w:uiPriority w:val="0"/>
    <w:pPr>
      <w:ind w:firstLine="420" w:firstLineChars="100"/>
    </w:pPr>
  </w:style>
  <w:style w:type="paragraph" w:styleId="4">
    <w:name w:val="annotation text"/>
    <w:basedOn w:val="1"/>
    <w:link w:val="11"/>
    <w:qFormat/>
    <w:uiPriority w:val="99"/>
    <w:pPr>
      <w:jc w:val="left"/>
    </w:pPr>
    <w:rPr>
      <w:rFonts w:asciiTheme="minorHAnsi" w:hAnsiTheme="minorHAnsi" w:cstheme="minorBidi"/>
    </w:rPr>
  </w:style>
  <w:style w:type="paragraph" w:styleId="5">
    <w:name w:val="Balloon Text"/>
    <w:basedOn w:val="1"/>
    <w:link w:val="16"/>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pBdr>
        <w:bottom w:val="single" w:color="auto" w:sz="6" w:space="1"/>
      </w:pBdr>
      <w:tabs>
        <w:tab w:val="center" w:pos="4153"/>
        <w:tab w:val="right" w:pos="8306"/>
      </w:tabs>
      <w:snapToGrid w:val="0"/>
      <w:jc w:val="center"/>
    </w:pPr>
    <w:rPr>
      <w:sz w:val="18"/>
      <w:szCs w:val="18"/>
    </w:rPr>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1">
    <w:name w:val="批注文字 Char"/>
    <w:link w:val="4"/>
    <w:qFormat/>
    <w:uiPriority w:val="99"/>
    <w:rPr>
      <w:rFonts w:eastAsia="宋体"/>
      <w:szCs w:val="24"/>
    </w:rPr>
  </w:style>
  <w:style w:type="character" w:customStyle="1" w:styleId="12">
    <w:name w:val="批注文字 Char1"/>
    <w:basedOn w:val="10"/>
    <w:semiHidden/>
    <w:qFormat/>
    <w:uiPriority w:val="99"/>
    <w:rPr>
      <w:rFonts w:ascii="Times New Roman" w:hAnsi="Times New Roman" w:eastAsia="宋体" w:cs="Times New Roman"/>
      <w:szCs w:val="24"/>
    </w:rPr>
  </w:style>
  <w:style w:type="character" w:customStyle="1" w:styleId="13">
    <w:name w:val="正文文本 Char"/>
    <w:basedOn w:val="10"/>
    <w:link w:val="2"/>
    <w:semiHidden/>
    <w:qFormat/>
    <w:uiPriority w:val="99"/>
    <w:rPr>
      <w:rFonts w:ascii="Times New Roman" w:hAnsi="Times New Roman" w:eastAsia="宋体" w:cs="Times New Roman"/>
      <w:szCs w:val="24"/>
    </w:rPr>
  </w:style>
  <w:style w:type="character" w:customStyle="1" w:styleId="14">
    <w:name w:val="页眉 Char"/>
    <w:basedOn w:val="10"/>
    <w:link w:val="7"/>
    <w:qFormat/>
    <w:uiPriority w:val="99"/>
    <w:rPr>
      <w:rFonts w:ascii="Times New Roman" w:hAnsi="Times New Roman" w:eastAsia="宋体" w:cs="Times New Roman"/>
      <w:sz w:val="18"/>
      <w:szCs w:val="18"/>
    </w:rPr>
  </w:style>
  <w:style w:type="character" w:customStyle="1" w:styleId="15">
    <w:name w:val="页脚 Char"/>
    <w:basedOn w:val="10"/>
    <w:link w:val="6"/>
    <w:qFormat/>
    <w:uiPriority w:val="99"/>
    <w:rPr>
      <w:rFonts w:ascii="Times New Roman" w:hAnsi="Times New Roman" w:eastAsia="宋体" w:cs="Times New Roman"/>
      <w:sz w:val="18"/>
      <w:szCs w:val="18"/>
    </w:rPr>
  </w:style>
  <w:style w:type="character" w:customStyle="1" w:styleId="16">
    <w:name w:val="批注框文本 Char"/>
    <w:basedOn w:val="10"/>
    <w:link w:val="5"/>
    <w:semiHidden/>
    <w:qFormat/>
    <w:uiPriority w:val="99"/>
    <w:rPr>
      <w:rFonts w:ascii="Times New Roman" w:hAnsi="Times New Roman" w:eastAsia="宋体" w:cs="Times New Roman"/>
      <w:sz w:val="18"/>
      <w:szCs w:val="18"/>
    </w:rPr>
  </w:style>
  <w:style w:type="paragraph" w:customStyle="1" w:styleId="17">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89</Words>
  <Characters>509</Characters>
  <Lines>4</Lines>
  <Paragraphs>1</Paragraphs>
  <TotalTime>0</TotalTime>
  <ScaleCrop>false</ScaleCrop>
  <LinksUpToDate>false</LinksUpToDate>
  <CharactersWithSpaces>597</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2020-05-27T09:05:00Z</dcterms:created>
  <dc:creator>Administrator</dc:creator>
  <cp:lastModifiedBy>余小黑不二黑</cp:lastModifiedBy>
  <cp:lastPrinted>2020-10-25T08:51:00Z</cp:lastPrinted>
  <dcterms:modified xsi:type="dcterms:W3CDTF">2020-10-27T08:01:27Z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