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8"/>
        <w:tblpPr w:leftFromText="180" w:rightFromText="180" w:vertAnchor="page" w:horzAnchor="page" w:tblpX="1047" w:tblpY="2455"/>
        <w:tblW w:w="10242" w:type="dxa"/>
        <w:tblInd w:w="0" w:type="dxa"/>
        <w:tblLayout w:type="fixed"/>
        <w:tblCellMar>
          <w:top w:w="0" w:type="dxa"/>
          <w:left w:w="108" w:type="dxa"/>
          <w:bottom w:w="0" w:type="dxa"/>
          <w:right w:w="108" w:type="dxa"/>
        </w:tblCellMar>
      </w:tblPr>
      <w:tblGrid>
        <w:gridCol w:w="635"/>
        <w:gridCol w:w="1095"/>
        <w:gridCol w:w="570"/>
        <w:gridCol w:w="5392"/>
        <w:gridCol w:w="1275"/>
        <w:gridCol w:w="1275"/>
      </w:tblGrid>
      <w:tr>
        <w:tblPrEx>
          <w:tblCellMar>
            <w:top w:w="0" w:type="dxa"/>
            <w:left w:w="108" w:type="dxa"/>
            <w:bottom w:w="0" w:type="dxa"/>
            <w:right w:w="108" w:type="dxa"/>
          </w:tblCellMar>
        </w:tblPrEx>
        <w:trPr>
          <w:trHeight w:val="725" w:hRule="atLeast"/>
        </w:trPr>
        <w:tc>
          <w:tcPr>
            <w:tcW w:w="635" w:type="dxa"/>
            <w:tcBorders>
              <w:top w:val="single" w:color="auto" w:sz="8" w:space="0"/>
              <w:left w:val="single" w:color="auto" w:sz="8" w:space="0"/>
              <w:bottom w:val="single" w:color="000000" w:sz="8" w:space="0"/>
              <w:right w:val="single" w:color="auto" w:sz="8" w:space="0"/>
            </w:tcBorders>
            <w:vAlign w:val="center"/>
          </w:tcPr>
          <w:p>
            <w:pPr>
              <w:widowControl/>
              <w:jc w:val="center"/>
              <w:rPr>
                <w:rFonts w:ascii="宋体" w:hAnsi="宋体" w:cs="宋体"/>
                <w:kern w:val="0"/>
                <w:szCs w:val="21"/>
              </w:rPr>
            </w:pPr>
            <w:r>
              <w:rPr>
                <w:rFonts w:hint="eastAsia" w:ascii="宋体" w:hAnsi="宋体" w:cs="宋体"/>
                <w:kern w:val="0"/>
                <w:szCs w:val="21"/>
              </w:rPr>
              <w:t>序号</w:t>
            </w:r>
          </w:p>
        </w:tc>
        <w:tc>
          <w:tcPr>
            <w:tcW w:w="1095" w:type="dxa"/>
            <w:tcBorders>
              <w:top w:val="single" w:color="auto" w:sz="8" w:space="0"/>
              <w:left w:val="nil"/>
              <w:bottom w:val="single" w:color="auto" w:sz="4" w:space="0"/>
              <w:right w:val="single" w:color="auto" w:sz="8" w:space="0"/>
            </w:tcBorders>
            <w:vAlign w:val="center"/>
          </w:tcPr>
          <w:p>
            <w:pPr>
              <w:widowControl/>
              <w:rPr>
                <w:rFonts w:ascii="宋体" w:hAnsi="宋体" w:cs="宋体"/>
                <w:kern w:val="0"/>
                <w:szCs w:val="21"/>
              </w:rPr>
            </w:pPr>
            <w:r>
              <w:rPr>
                <w:rFonts w:hint="eastAsia" w:ascii="宋体" w:hAnsi="宋体" w:cs="宋体"/>
                <w:kern w:val="0"/>
                <w:szCs w:val="21"/>
              </w:rPr>
              <w:t>评分因素</w:t>
            </w:r>
          </w:p>
          <w:p>
            <w:pPr>
              <w:rPr>
                <w:rFonts w:ascii="宋体" w:hAnsi="宋体" w:cs="宋体"/>
                <w:kern w:val="0"/>
                <w:szCs w:val="21"/>
              </w:rPr>
            </w:pPr>
            <w:r>
              <w:rPr>
                <w:rFonts w:hint="eastAsia" w:ascii="宋体" w:hAnsi="宋体" w:cs="宋体"/>
                <w:kern w:val="0"/>
                <w:szCs w:val="21"/>
              </w:rPr>
              <w:t>及权重</w:t>
            </w:r>
          </w:p>
        </w:tc>
        <w:tc>
          <w:tcPr>
            <w:tcW w:w="570" w:type="dxa"/>
            <w:tcBorders>
              <w:top w:val="single" w:color="auto" w:sz="8" w:space="0"/>
              <w:left w:val="single" w:color="auto" w:sz="8" w:space="0"/>
              <w:bottom w:val="single" w:color="auto" w:sz="4" w:space="0"/>
              <w:right w:val="single" w:color="auto" w:sz="8" w:space="0"/>
            </w:tcBorders>
            <w:vAlign w:val="center"/>
          </w:tcPr>
          <w:p>
            <w:pPr>
              <w:widowControl/>
              <w:jc w:val="center"/>
              <w:rPr>
                <w:rFonts w:ascii="宋体" w:hAnsi="宋体" w:cs="宋体"/>
                <w:kern w:val="0"/>
                <w:szCs w:val="21"/>
              </w:rPr>
            </w:pPr>
            <w:r>
              <w:rPr>
                <w:rFonts w:hint="eastAsia" w:ascii="宋体" w:hAnsi="宋体" w:cs="宋体"/>
                <w:kern w:val="0"/>
                <w:szCs w:val="21"/>
              </w:rPr>
              <w:t>分　值</w:t>
            </w:r>
          </w:p>
        </w:tc>
        <w:tc>
          <w:tcPr>
            <w:tcW w:w="5392" w:type="dxa"/>
            <w:tcBorders>
              <w:top w:val="single" w:color="auto" w:sz="8" w:space="0"/>
              <w:left w:val="single" w:color="auto" w:sz="8" w:space="0"/>
              <w:bottom w:val="single" w:color="000000" w:sz="8" w:space="0"/>
              <w:right w:val="single" w:color="auto" w:sz="8" w:space="0"/>
            </w:tcBorders>
            <w:vAlign w:val="center"/>
          </w:tcPr>
          <w:p>
            <w:pPr>
              <w:widowControl/>
              <w:jc w:val="center"/>
              <w:rPr>
                <w:rFonts w:ascii="宋体" w:hAnsi="宋体" w:cs="宋体"/>
                <w:kern w:val="0"/>
                <w:szCs w:val="21"/>
              </w:rPr>
            </w:pPr>
            <w:r>
              <w:rPr>
                <w:rFonts w:hint="eastAsia" w:ascii="宋体" w:hAnsi="宋体" w:cs="宋体"/>
                <w:kern w:val="0"/>
                <w:szCs w:val="21"/>
              </w:rPr>
              <w:t>评分标准</w:t>
            </w:r>
          </w:p>
        </w:tc>
        <w:tc>
          <w:tcPr>
            <w:tcW w:w="1275" w:type="dxa"/>
            <w:tcBorders>
              <w:top w:val="single" w:color="auto" w:sz="8" w:space="0"/>
              <w:left w:val="single" w:color="auto" w:sz="8" w:space="0"/>
              <w:bottom w:val="single" w:color="000000" w:sz="8" w:space="0"/>
              <w:right w:val="single" w:color="auto" w:sz="8" w:space="0"/>
            </w:tcBorders>
            <w:vAlign w:val="center"/>
          </w:tcPr>
          <w:p>
            <w:pPr>
              <w:widowControl/>
              <w:jc w:val="center"/>
              <w:rPr>
                <w:rFonts w:hint="eastAsia" w:ascii="宋体" w:hAnsi="宋体" w:eastAsia="宋体" w:cs="宋体"/>
                <w:kern w:val="0"/>
                <w:szCs w:val="21"/>
                <w:lang w:eastAsia="zh-CN"/>
              </w:rPr>
            </w:pPr>
            <w:r>
              <w:rPr>
                <w:rFonts w:hint="eastAsia" w:ascii="宋体" w:hAnsi="宋体" w:cs="宋体"/>
                <w:kern w:val="0"/>
                <w:szCs w:val="21"/>
                <w:lang w:eastAsia="zh-CN"/>
              </w:rPr>
              <w:t>说明</w:t>
            </w:r>
          </w:p>
        </w:tc>
        <w:tc>
          <w:tcPr>
            <w:tcW w:w="1275" w:type="dxa"/>
            <w:tcBorders>
              <w:top w:val="single" w:color="auto" w:sz="8" w:space="0"/>
              <w:left w:val="single" w:color="auto" w:sz="8" w:space="0"/>
              <w:bottom w:val="single" w:color="000000" w:sz="8" w:space="0"/>
              <w:right w:val="single" w:color="auto" w:sz="8" w:space="0"/>
            </w:tcBorders>
            <w:vAlign w:val="center"/>
          </w:tcPr>
          <w:p>
            <w:pPr>
              <w:widowControl/>
              <w:jc w:val="center"/>
              <w:rPr>
                <w:rFonts w:ascii="宋体" w:hAnsi="宋体" w:cs="宋体"/>
                <w:kern w:val="0"/>
                <w:szCs w:val="21"/>
              </w:rPr>
            </w:pPr>
            <w:r>
              <w:rPr>
                <w:rFonts w:hint="eastAsia" w:ascii="宋体" w:hAnsi="宋体" w:cs="宋体"/>
                <w:kern w:val="0"/>
                <w:szCs w:val="21"/>
              </w:rPr>
              <w:t>备注</w:t>
            </w:r>
          </w:p>
        </w:tc>
      </w:tr>
      <w:tr>
        <w:tblPrEx>
          <w:tblCellMar>
            <w:top w:w="0" w:type="dxa"/>
            <w:left w:w="108" w:type="dxa"/>
            <w:bottom w:w="0" w:type="dxa"/>
            <w:right w:w="108" w:type="dxa"/>
          </w:tblCellMar>
        </w:tblPrEx>
        <w:trPr>
          <w:trHeight w:val="3084" w:hRule="atLeast"/>
        </w:trPr>
        <w:tc>
          <w:tcPr>
            <w:tcW w:w="635" w:type="dxa"/>
            <w:tcBorders>
              <w:top w:val="nil"/>
              <w:left w:val="single" w:color="auto" w:sz="8" w:space="0"/>
              <w:bottom w:val="single" w:color="000000" w:sz="8" w:space="0"/>
              <w:right w:val="single" w:color="auto" w:sz="8" w:space="0"/>
            </w:tcBorders>
            <w:vAlign w:val="center"/>
          </w:tcPr>
          <w:p>
            <w:pPr>
              <w:pStyle w:val="4"/>
              <w:jc w:val="center"/>
              <w:rPr>
                <w:rFonts w:ascii="宋体" w:hAnsi="宋体" w:cs="宋体"/>
                <w:kern w:val="0"/>
                <w:szCs w:val="21"/>
              </w:rPr>
            </w:pPr>
            <w:r>
              <w:rPr>
                <w:rFonts w:hint="eastAsia" w:ascii="宋体" w:hAnsi="宋体" w:cs="宋体"/>
                <w:kern w:val="0"/>
                <w:szCs w:val="21"/>
              </w:rPr>
              <w:t>1</w:t>
            </w:r>
          </w:p>
        </w:tc>
        <w:tc>
          <w:tcPr>
            <w:tcW w:w="1095" w:type="dxa"/>
            <w:tcBorders>
              <w:top w:val="single" w:color="auto" w:sz="4" w:space="0"/>
              <w:left w:val="single" w:color="auto" w:sz="8" w:space="0"/>
              <w:bottom w:val="single" w:color="000000" w:sz="8" w:space="0"/>
              <w:right w:val="single" w:color="auto" w:sz="8" w:space="0"/>
            </w:tcBorders>
            <w:vAlign w:val="center"/>
          </w:tcPr>
          <w:p>
            <w:pPr>
              <w:pStyle w:val="4"/>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报价（主要评分因素）3</w:t>
            </w:r>
            <w:r>
              <w:rPr>
                <w:rFonts w:hint="eastAsia" w:ascii="宋体" w:hAnsi="宋体" w:cs="宋体"/>
                <w:kern w:val="0"/>
                <w:sz w:val="21"/>
                <w:szCs w:val="21"/>
                <w:lang w:val="en-US" w:eastAsia="zh-CN" w:bidi="ar-SA"/>
              </w:rPr>
              <w:t>6</w:t>
            </w:r>
            <w:r>
              <w:rPr>
                <w:rFonts w:hint="eastAsia" w:ascii="宋体" w:hAnsi="宋体" w:eastAsia="宋体" w:cs="宋体"/>
                <w:kern w:val="0"/>
                <w:sz w:val="21"/>
                <w:szCs w:val="21"/>
                <w:lang w:val="en-US" w:eastAsia="zh-CN" w:bidi="ar-SA"/>
              </w:rPr>
              <w:t>%</w:t>
            </w:r>
          </w:p>
        </w:tc>
        <w:tc>
          <w:tcPr>
            <w:tcW w:w="570" w:type="dxa"/>
            <w:tcBorders>
              <w:top w:val="single" w:color="auto" w:sz="4" w:space="0"/>
              <w:left w:val="single" w:color="auto" w:sz="8" w:space="0"/>
              <w:bottom w:val="single" w:color="auto" w:sz="4" w:space="0"/>
              <w:right w:val="single" w:color="auto" w:sz="8" w:space="0"/>
            </w:tcBorders>
            <w:vAlign w:val="center"/>
          </w:tcPr>
          <w:p>
            <w:pPr>
              <w:pStyle w:val="4"/>
              <w:jc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36</w:t>
            </w:r>
          </w:p>
        </w:tc>
        <w:tc>
          <w:tcPr>
            <w:tcW w:w="5392" w:type="dxa"/>
            <w:tcBorders>
              <w:top w:val="nil"/>
              <w:left w:val="nil"/>
              <w:bottom w:val="single" w:color="auto" w:sz="4" w:space="0"/>
              <w:right w:val="single" w:color="auto" w:sz="8" w:space="0"/>
            </w:tcBorders>
            <w:vAlign w:val="center"/>
          </w:tcPr>
          <w:p>
            <w:pPr>
              <w:pStyle w:val="4"/>
              <w:rPr>
                <w:rFonts w:hint="eastAsia" w:ascii="宋体" w:hAnsi="宋体" w:cs="宋体"/>
                <w:kern w:val="0"/>
                <w:szCs w:val="21"/>
              </w:rPr>
            </w:pPr>
            <w:r>
              <w:rPr>
                <w:rFonts w:hint="eastAsia" w:ascii="宋体" w:hAnsi="宋体" w:cs="宋体"/>
                <w:kern w:val="0"/>
                <w:szCs w:val="21"/>
              </w:rPr>
              <w:t>统一采用低价优先法计算，即该品种满足竞选文件要求且竞选价格最低的竞选报价为评标基准价，其价格分为</w:t>
            </w:r>
            <w:r>
              <w:rPr>
                <w:rFonts w:hint="eastAsia" w:ascii="宋体" w:hAnsi="宋体" w:cs="宋体"/>
                <w:kern w:val="0"/>
                <w:szCs w:val="21"/>
                <w:lang w:val="en-US" w:eastAsia="zh-CN"/>
              </w:rPr>
              <w:t>36</w:t>
            </w:r>
            <w:r>
              <w:rPr>
                <w:rFonts w:hint="eastAsia" w:ascii="宋体" w:hAnsi="宋体" w:cs="宋体"/>
                <w:kern w:val="0"/>
                <w:szCs w:val="21"/>
              </w:rPr>
              <w:t>分。其他投标单位的价格分统一按照下列公式计算：竞选报价得分=(评标基准价／投标报价)×</w:t>
            </w:r>
            <w:r>
              <w:rPr>
                <w:rFonts w:hint="eastAsia" w:ascii="宋体" w:hAnsi="宋体" w:cs="宋体"/>
                <w:kern w:val="0"/>
                <w:szCs w:val="21"/>
                <w:lang w:val="en-US" w:eastAsia="zh-CN"/>
              </w:rPr>
              <w:t>36</w:t>
            </w:r>
            <w:r>
              <w:rPr>
                <w:rFonts w:hint="eastAsia" w:ascii="宋体" w:hAnsi="宋体" w:cs="宋体"/>
                <w:kern w:val="0"/>
                <w:szCs w:val="21"/>
              </w:rPr>
              <w:t>%×100。</w:t>
            </w:r>
          </w:p>
        </w:tc>
        <w:tc>
          <w:tcPr>
            <w:tcW w:w="1275" w:type="dxa"/>
            <w:tcBorders>
              <w:top w:val="nil"/>
              <w:left w:val="nil"/>
              <w:bottom w:val="single" w:color="auto" w:sz="4" w:space="0"/>
              <w:right w:val="single" w:color="auto" w:sz="8" w:space="0"/>
            </w:tcBorders>
            <w:vAlign w:val="center"/>
          </w:tcPr>
          <w:p>
            <w:pPr>
              <w:pStyle w:val="4"/>
              <w:jc w:val="center"/>
              <w:rPr>
                <w:rFonts w:hint="eastAsia" w:ascii="宋体" w:hAnsi="宋体" w:cs="宋体"/>
                <w:kern w:val="0"/>
                <w:szCs w:val="21"/>
                <w:lang w:eastAsia="zh-CN"/>
              </w:rPr>
            </w:pPr>
          </w:p>
        </w:tc>
        <w:tc>
          <w:tcPr>
            <w:tcW w:w="1275" w:type="dxa"/>
            <w:tcBorders>
              <w:top w:val="nil"/>
              <w:left w:val="nil"/>
              <w:bottom w:val="single" w:color="auto" w:sz="4" w:space="0"/>
              <w:right w:val="single" w:color="auto" w:sz="8" w:space="0"/>
            </w:tcBorders>
            <w:vAlign w:val="center"/>
          </w:tcPr>
          <w:p>
            <w:pPr>
              <w:pStyle w:val="4"/>
              <w:jc w:val="center"/>
              <w:rPr>
                <w:rFonts w:hint="eastAsia" w:ascii="宋体" w:hAnsi="宋体" w:cs="宋体"/>
                <w:kern w:val="0"/>
                <w:szCs w:val="21"/>
              </w:rPr>
            </w:pPr>
            <w:r>
              <w:rPr>
                <w:rFonts w:hint="eastAsia" w:ascii="宋体" w:hAnsi="宋体" w:cs="宋体"/>
                <w:kern w:val="0"/>
                <w:szCs w:val="21"/>
                <w:lang w:eastAsia="zh-CN"/>
              </w:rPr>
              <w:t>共同评分因素</w:t>
            </w:r>
          </w:p>
        </w:tc>
      </w:tr>
      <w:tr>
        <w:tblPrEx>
          <w:tblCellMar>
            <w:top w:w="0" w:type="dxa"/>
            <w:left w:w="108" w:type="dxa"/>
            <w:bottom w:w="0" w:type="dxa"/>
            <w:right w:w="108" w:type="dxa"/>
          </w:tblCellMar>
        </w:tblPrEx>
        <w:trPr>
          <w:trHeight w:val="1705" w:hRule="atLeast"/>
        </w:trPr>
        <w:tc>
          <w:tcPr>
            <w:tcW w:w="635" w:type="dxa"/>
            <w:tcBorders>
              <w:top w:val="nil"/>
              <w:left w:val="single" w:color="auto" w:sz="8" w:space="0"/>
              <w:bottom w:val="single" w:color="000000" w:sz="8" w:space="0"/>
              <w:right w:val="single" w:color="auto" w:sz="8" w:space="0"/>
            </w:tcBorders>
            <w:vAlign w:val="center"/>
          </w:tcPr>
          <w:p>
            <w:pPr>
              <w:widowControl/>
              <w:jc w:val="center"/>
              <w:rPr>
                <w:rFonts w:ascii="宋体" w:hAnsi="宋体" w:cs="宋体"/>
                <w:kern w:val="0"/>
                <w:szCs w:val="21"/>
              </w:rPr>
            </w:pPr>
            <w:r>
              <w:rPr>
                <w:rFonts w:hint="eastAsia" w:ascii="宋体" w:hAnsi="宋体" w:cs="宋体"/>
                <w:kern w:val="0"/>
                <w:szCs w:val="21"/>
              </w:rPr>
              <w:t>2</w:t>
            </w:r>
          </w:p>
        </w:tc>
        <w:tc>
          <w:tcPr>
            <w:tcW w:w="1095" w:type="dxa"/>
            <w:tcBorders>
              <w:top w:val="nil"/>
              <w:left w:val="nil"/>
              <w:bottom w:val="single" w:color="auto" w:sz="4" w:space="0"/>
              <w:right w:val="single" w:color="auto" w:sz="8" w:space="0"/>
            </w:tcBorders>
            <w:vAlign w:val="center"/>
          </w:tcPr>
          <w:p>
            <w:pPr>
              <w:widowControl/>
              <w:jc w:val="left"/>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技术指标（主要评分因素）</w:t>
            </w:r>
            <w:r>
              <w:rPr>
                <w:rFonts w:hint="eastAsia" w:ascii="宋体" w:hAnsi="宋体" w:cs="宋体"/>
                <w:kern w:val="0"/>
                <w:sz w:val="21"/>
                <w:szCs w:val="21"/>
                <w:lang w:val="en-US" w:eastAsia="zh-CN" w:bidi="ar-SA"/>
              </w:rPr>
              <w:t>45</w:t>
            </w:r>
            <w:r>
              <w:rPr>
                <w:rFonts w:hint="eastAsia" w:ascii="宋体" w:hAnsi="宋体" w:eastAsia="宋体" w:cs="宋体"/>
                <w:kern w:val="0"/>
                <w:sz w:val="21"/>
                <w:szCs w:val="21"/>
                <w:lang w:val="en-US" w:eastAsia="zh-CN" w:bidi="ar-SA"/>
              </w:rPr>
              <w:t>%</w:t>
            </w:r>
          </w:p>
        </w:tc>
        <w:tc>
          <w:tcPr>
            <w:tcW w:w="570" w:type="dxa"/>
            <w:tcBorders>
              <w:top w:val="single" w:color="auto" w:sz="4" w:space="0"/>
              <w:left w:val="single" w:color="auto" w:sz="8" w:space="0"/>
              <w:bottom w:val="single" w:color="auto" w:sz="4" w:space="0"/>
              <w:right w:val="single" w:color="auto" w:sz="8" w:space="0"/>
            </w:tcBorders>
            <w:vAlign w:val="center"/>
          </w:tcPr>
          <w:p>
            <w:pPr>
              <w:widowControl/>
              <w:jc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45</w:t>
            </w:r>
          </w:p>
        </w:tc>
        <w:tc>
          <w:tcPr>
            <w:tcW w:w="5392" w:type="dxa"/>
            <w:tcBorders>
              <w:top w:val="single" w:color="auto" w:sz="4" w:space="0"/>
              <w:left w:val="single" w:color="auto" w:sz="8" w:space="0"/>
              <w:bottom w:val="single" w:color="000000" w:sz="8" w:space="0"/>
              <w:right w:val="single" w:color="auto" w:sz="8" w:space="0"/>
            </w:tcBorders>
            <w:vAlign w:val="center"/>
          </w:tcPr>
          <w:p>
            <w:pPr>
              <w:spacing w:after="0" w:line="240" w:lineRule="auto"/>
              <w:ind w:firstLine="210" w:firstLineChars="100"/>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投标人针对招标文件中的技术参数条款的相应得分规则如下：（一般技术参数条款指未标注★的条款，重要参数指标注★的条款）</w:t>
            </w:r>
          </w:p>
          <w:p>
            <w:pPr>
              <w:spacing w:after="0" w:line="240" w:lineRule="auto"/>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 xml:space="preserve">  完全满足指标文件中的技术参数条款要求得45分，一般技术参数每有一项不满足的扣3分，重要参数每有一项不满足的扣10分，扣完为止。</w:t>
            </w:r>
          </w:p>
          <w:p>
            <w:pPr>
              <w:pStyle w:val="2"/>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 xml:space="preserve"> 注：针对★条款的技术响应，投标人需提供技术支撑材料（如产品检验报告注册证或向社会公开的产品彩</w:t>
            </w:r>
            <w:bookmarkStart w:id="0" w:name="_GoBack"/>
            <w:bookmarkEnd w:id="0"/>
            <w:r>
              <w:rPr>
                <w:rFonts w:hint="eastAsia" w:ascii="宋体" w:hAnsi="宋体" w:eastAsia="宋体" w:cs="宋体"/>
                <w:kern w:val="0"/>
                <w:sz w:val="21"/>
                <w:szCs w:val="21"/>
                <w:lang w:val="en-US" w:eastAsia="zh-CN" w:bidi="ar-SA"/>
              </w:rPr>
              <w:t>页或产品说明书等），但如果“技术要求”中的★技术条款对技术支撑材料有要求，应按要求提供，否则对应技术参数条款将视为不满足。</w:t>
            </w:r>
          </w:p>
        </w:tc>
        <w:tc>
          <w:tcPr>
            <w:tcW w:w="1275" w:type="dxa"/>
            <w:tcBorders>
              <w:top w:val="single" w:color="auto" w:sz="4" w:space="0"/>
              <w:left w:val="single" w:color="auto" w:sz="8" w:space="0"/>
              <w:bottom w:val="single" w:color="000000" w:sz="8" w:space="0"/>
              <w:right w:val="single" w:color="auto" w:sz="8" w:space="0"/>
            </w:tcBorders>
            <w:vAlign w:val="center"/>
          </w:tcPr>
          <w:p>
            <w:pPr>
              <w:adjustRightInd w:val="0"/>
              <w:jc w:val="center"/>
              <w:rPr>
                <w:rFonts w:hint="eastAsia" w:ascii="宋体" w:hAnsi="宋体" w:eastAsia="宋体" w:cs="宋体"/>
                <w:kern w:val="0"/>
                <w:sz w:val="21"/>
                <w:szCs w:val="21"/>
                <w:lang w:val="en-US" w:eastAsia="zh-CN" w:bidi="ar-SA"/>
              </w:rPr>
            </w:pPr>
            <w:r>
              <w:rPr>
                <w:rFonts w:hint="default" w:ascii="Times New Roman" w:hAnsi="Times New Roman" w:eastAsia="宋体" w:cs="Times New Roman"/>
                <w:i w:val="0"/>
                <w:caps w:val="0"/>
                <w:color w:val="000000"/>
                <w:spacing w:val="0"/>
                <w:sz w:val="21"/>
                <w:szCs w:val="21"/>
                <w:shd w:val="clear" w:fill="FFFFFF"/>
              </w:rPr>
              <w:t>竞选人需提供技术支撑材料，并在技术响应偏离表中注明，否则不予认定</w:t>
            </w:r>
          </w:p>
        </w:tc>
        <w:tc>
          <w:tcPr>
            <w:tcW w:w="1275" w:type="dxa"/>
            <w:tcBorders>
              <w:top w:val="single" w:color="auto" w:sz="4" w:space="0"/>
              <w:left w:val="single" w:color="auto" w:sz="8" w:space="0"/>
              <w:bottom w:val="single" w:color="000000" w:sz="8" w:space="0"/>
              <w:right w:val="single" w:color="auto" w:sz="8" w:space="0"/>
            </w:tcBorders>
            <w:vAlign w:val="center"/>
          </w:tcPr>
          <w:p>
            <w:pPr>
              <w:adjustRightInd w:val="0"/>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技术类评分因素</w:t>
            </w:r>
          </w:p>
        </w:tc>
      </w:tr>
      <w:tr>
        <w:tblPrEx>
          <w:tblCellMar>
            <w:top w:w="0" w:type="dxa"/>
            <w:left w:w="108" w:type="dxa"/>
            <w:bottom w:w="0" w:type="dxa"/>
            <w:right w:w="108" w:type="dxa"/>
          </w:tblCellMar>
        </w:tblPrEx>
        <w:trPr>
          <w:trHeight w:val="988" w:hRule="atLeast"/>
        </w:trPr>
        <w:tc>
          <w:tcPr>
            <w:tcW w:w="635" w:type="dxa"/>
            <w:tcBorders>
              <w:top w:val="nil"/>
              <w:left w:val="single" w:color="auto" w:sz="8" w:space="0"/>
              <w:bottom w:val="single" w:color="auto" w:sz="4" w:space="0"/>
              <w:right w:val="single" w:color="auto" w:sz="8" w:space="0"/>
            </w:tcBorders>
            <w:vAlign w:val="center"/>
          </w:tcPr>
          <w:p>
            <w:pPr>
              <w:widowControl/>
              <w:jc w:val="center"/>
              <w:rPr>
                <w:rFonts w:hint="eastAsia" w:ascii="宋体" w:hAnsi="宋体" w:eastAsia="宋体" w:cs="宋体"/>
                <w:kern w:val="0"/>
                <w:szCs w:val="21"/>
                <w:lang w:val="en-US" w:eastAsia="zh-CN"/>
              </w:rPr>
            </w:pPr>
            <w:r>
              <w:rPr>
                <w:rFonts w:hint="eastAsia" w:ascii="宋体" w:hAnsi="宋体" w:cs="宋体"/>
                <w:kern w:val="0"/>
                <w:szCs w:val="21"/>
                <w:lang w:val="en-US" w:eastAsia="zh-CN"/>
              </w:rPr>
              <w:t>3</w:t>
            </w:r>
          </w:p>
        </w:tc>
        <w:tc>
          <w:tcPr>
            <w:tcW w:w="1095" w:type="dxa"/>
            <w:tcBorders>
              <w:top w:val="single" w:color="auto" w:sz="4" w:space="0"/>
              <w:left w:val="nil"/>
              <w:bottom w:val="single" w:color="auto" w:sz="4" w:space="0"/>
              <w:right w:val="single" w:color="auto" w:sz="8" w:space="0"/>
            </w:tcBorders>
            <w:vAlign w:val="center"/>
          </w:tcPr>
          <w:p>
            <w:pPr>
              <w:widowControl w:val="0"/>
              <w:jc w:val="center"/>
              <w:rPr>
                <w:rFonts w:hint="eastAsia" w:ascii="宋体" w:hAnsi="宋体" w:eastAsia="宋体" w:cs="宋体"/>
                <w:kern w:val="2"/>
                <w:sz w:val="21"/>
                <w:szCs w:val="24"/>
                <w:lang w:val="en-US" w:eastAsia="zh-CN" w:bidi="ar-SA"/>
              </w:rPr>
            </w:pPr>
            <w:r>
              <w:rPr>
                <w:rFonts w:hint="eastAsia" w:ascii="宋体" w:hAnsi="宋体" w:eastAsia="宋体" w:cs="宋体"/>
                <w:lang w:eastAsia="zh-CN"/>
              </w:rPr>
              <w:t>售后服务</w:t>
            </w:r>
            <w:r>
              <w:rPr>
                <w:rFonts w:hint="eastAsia" w:ascii="宋体" w:hAnsi="宋体" w:cs="宋体"/>
                <w:lang w:val="en-US" w:eastAsia="zh-CN"/>
              </w:rPr>
              <w:t>15</w:t>
            </w:r>
            <w:r>
              <w:rPr>
                <w:rFonts w:hint="eastAsia" w:ascii="宋体" w:hAnsi="宋体" w:eastAsia="宋体" w:cs="宋体"/>
                <w:lang w:eastAsia="zh-CN"/>
              </w:rPr>
              <w:t>%</w:t>
            </w:r>
          </w:p>
        </w:tc>
        <w:tc>
          <w:tcPr>
            <w:tcW w:w="570" w:type="dxa"/>
            <w:tcBorders>
              <w:top w:val="single" w:color="auto" w:sz="4" w:space="0"/>
              <w:left w:val="nil"/>
              <w:bottom w:val="single" w:color="auto" w:sz="4" w:space="0"/>
              <w:right w:val="single" w:color="auto" w:sz="8" w:space="0"/>
            </w:tcBorders>
            <w:vAlign w:val="center"/>
          </w:tcPr>
          <w:p>
            <w:pPr>
              <w:widowControl w:val="0"/>
              <w:jc w:val="center"/>
              <w:rPr>
                <w:rFonts w:hint="default" w:ascii="宋体" w:hAnsi="宋体" w:eastAsia="宋体" w:cs="宋体"/>
                <w:kern w:val="2"/>
                <w:sz w:val="21"/>
                <w:szCs w:val="24"/>
                <w:lang w:val="en-US" w:eastAsia="zh-CN" w:bidi="ar-SA"/>
              </w:rPr>
            </w:pPr>
            <w:r>
              <w:rPr>
                <w:rFonts w:hint="eastAsia" w:ascii="宋体" w:hAnsi="宋体" w:cs="宋体"/>
                <w:lang w:val="en-US" w:eastAsia="zh-CN"/>
              </w:rPr>
              <w:t>15</w:t>
            </w:r>
          </w:p>
        </w:tc>
        <w:tc>
          <w:tcPr>
            <w:tcW w:w="5392" w:type="dxa"/>
            <w:tcBorders>
              <w:top w:val="nil"/>
              <w:left w:val="nil"/>
              <w:bottom w:val="single" w:color="auto" w:sz="4" w:space="0"/>
              <w:right w:val="single" w:color="auto" w:sz="8" w:space="0"/>
            </w:tcBorders>
            <w:vAlign w:val="center"/>
          </w:tcPr>
          <w:p>
            <w:pPr>
              <w:tabs>
                <w:tab w:val="left" w:pos="540"/>
              </w:tabs>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根据竞选人承诺的交货实施方案和响应时间、质量保证范围，售后服务体系等进行综合分析评分：1、有专人负责售后服务。2、承诺任何问题在接到电话后立即响应，并在24小时内处理。3、承诺产品质量问题无条件退货。承诺产品验收前，无条件破损退换。4、按买方要求安排送货。</w:t>
            </w:r>
            <w:r>
              <w:rPr>
                <w:rFonts w:hint="eastAsia" w:ascii="宋体" w:hAnsi="宋体" w:cs="宋体"/>
                <w:kern w:val="0"/>
                <w:sz w:val="21"/>
                <w:szCs w:val="21"/>
                <w:lang w:val="en-US" w:eastAsia="zh-CN" w:bidi="ar-SA"/>
              </w:rPr>
              <w:t>5、按要求送达设备维修配件及工程师到场，</w:t>
            </w:r>
            <w:r>
              <w:rPr>
                <w:rFonts w:hint="eastAsia" w:ascii="宋体" w:hAnsi="宋体" w:eastAsia="宋体" w:cs="宋体"/>
                <w:kern w:val="0"/>
                <w:sz w:val="21"/>
                <w:szCs w:val="21"/>
                <w:lang w:val="en-US" w:eastAsia="zh-CN" w:bidi="ar-SA"/>
              </w:rPr>
              <w:t>以上项目符合1项得</w:t>
            </w:r>
            <w:r>
              <w:rPr>
                <w:rFonts w:hint="eastAsia" w:ascii="宋体" w:hAnsi="宋体" w:cs="宋体"/>
                <w:kern w:val="0"/>
                <w:sz w:val="21"/>
                <w:szCs w:val="21"/>
                <w:lang w:val="en-US" w:eastAsia="zh-CN" w:bidi="ar-SA"/>
              </w:rPr>
              <w:t>3</w:t>
            </w:r>
            <w:r>
              <w:rPr>
                <w:rFonts w:hint="eastAsia" w:ascii="宋体" w:hAnsi="宋体" w:eastAsia="宋体" w:cs="宋体"/>
                <w:kern w:val="0"/>
                <w:sz w:val="21"/>
                <w:szCs w:val="21"/>
                <w:lang w:val="en-US" w:eastAsia="zh-CN" w:bidi="ar-SA"/>
              </w:rPr>
              <w:t>分，最多</w:t>
            </w:r>
            <w:r>
              <w:rPr>
                <w:rFonts w:hint="eastAsia" w:ascii="宋体" w:hAnsi="宋体" w:cs="宋体"/>
                <w:kern w:val="0"/>
                <w:sz w:val="21"/>
                <w:szCs w:val="21"/>
                <w:lang w:val="en-US" w:eastAsia="zh-CN" w:bidi="ar-SA"/>
              </w:rPr>
              <w:t>15</w:t>
            </w:r>
            <w:r>
              <w:rPr>
                <w:rFonts w:hint="eastAsia" w:ascii="宋体" w:hAnsi="宋体" w:eastAsia="宋体" w:cs="宋体"/>
                <w:kern w:val="0"/>
                <w:sz w:val="21"/>
                <w:szCs w:val="21"/>
                <w:lang w:val="en-US" w:eastAsia="zh-CN" w:bidi="ar-SA"/>
              </w:rPr>
              <w:t>分</w:t>
            </w:r>
          </w:p>
        </w:tc>
        <w:tc>
          <w:tcPr>
            <w:tcW w:w="1275" w:type="dxa"/>
            <w:tcBorders>
              <w:top w:val="nil"/>
              <w:left w:val="nil"/>
              <w:bottom w:val="single" w:color="auto" w:sz="4" w:space="0"/>
              <w:right w:val="single" w:color="auto" w:sz="8" w:space="0"/>
            </w:tcBorders>
            <w:vAlign w:val="center"/>
          </w:tcPr>
          <w:p>
            <w:pPr>
              <w:adjustRightInd w:val="0"/>
              <w:jc w:val="center"/>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以实际竞选文件为准</w:t>
            </w:r>
          </w:p>
        </w:tc>
        <w:tc>
          <w:tcPr>
            <w:tcW w:w="1275" w:type="dxa"/>
            <w:tcBorders>
              <w:top w:val="nil"/>
              <w:left w:val="nil"/>
              <w:bottom w:val="single" w:color="auto" w:sz="4" w:space="0"/>
              <w:right w:val="single" w:color="auto" w:sz="8" w:space="0"/>
            </w:tcBorders>
            <w:vAlign w:val="center"/>
          </w:tcPr>
          <w:p>
            <w:pPr>
              <w:adjustRightInd w:val="0"/>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共同评分因素</w:t>
            </w:r>
          </w:p>
        </w:tc>
      </w:tr>
      <w:tr>
        <w:tblPrEx>
          <w:tblCellMar>
            <w:top w:w="0" w:type="dxa"/>
            <w:left w:w="108" w:type="dxa"/>
            <w:bottom w:w="0" w:type="dxa"/>
            <w:right w:w="108" w:type="dxa"/>
          </w:tblCellMar>
        </w:tblPrEx>
        <w:trPr>
          <w:trHeight w:val="988" w:hRule="atLeast"/>
        </w:trPr>
        <w:tc>
          <w:tcPr>
            <w:tcW w:w="635" w:type="dxa"/>
            <w:tcBorders>
              <w:top w:val="single" w:color="auto" w:sz="4" w:space="0"/>
              <w:left w:val="single" w:color="auto" w:sz="4" w:space="0"/>
              <w:bottom w:val="single" w:color="auto" w:sz="4" w:space="0"/>
              <w:right w:val="single" w:color="auto" w:sz="4" w:space="0"/>
            </w:tcBorders>
            <w:vAlign w:val="center"/>
          </w:tcPr>
          <w:p>
            <w:pPr>
              <w:ind w:firstLine="210" w:firstLineChars="100"/>
              <w:jc w:val="left"/>
              <w:rPr>
                <w:rFonts w:hint="default"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4</w:t>
            </w:r>
          </w:p>
        </w:tc>
        <w:tc>
          <w:tcPr>
            <w:tcW w:w="1095" w:type="dxa"/>
            <w:tcBorders>
              <w:top w:val="single" w:color="auto" w:sz="4" w:space="0"/>
              <w:left w:val="single" w:color="auto" w:sz="4" w:space="0"/>
              <w:bottom w:val="single" w:color="auto" w:sz="4" w:space="0"/>
              <w:right w:val="single" w:color="auto" w:sz="4" w:space="0"/>
            </w:tcBorders>
            <w:vAlign w:val="center"/>
          </w:tcPr>
          <w:p>
            <w:pPr>
              <w:jc w:val="left"/>
              <w:rPr>
                <w:rFonts w:hint="eastAsia" w:ascii="宋体" w:hAnsi="宋体" w:eastAsia="宋体" w:cs="宋体"/>
                <w:kern w:val="0"/>
                <w:sz w:val="21"/>
                <w:szCs w:val="21"/>
                <w:lang w:val="en-US" w:eastAsia="zh-CN" w:bidi="ar-SA"/>
              </w:rPr>
            </w:pPr>
            <w:r>
              <w:rPr>
                <w:rFonts w:hint="eastAsia" w:ascii="宋体" w:hAnsi="宋体" w:cs="宋体"/>
                <w:kern w:val="0"/>
                <w:szCs w:val="21"/>
              </w:rPr>
              <w:t>响应文件的规范性</w:t>
            </w:r>
            <w:r>
              <w:rPr>
                <w:rFonts w:hint="eastAsia" w:ascii="宋体" w:hAnsi="宋体" w:cs="宋体"/>
                <w:kern w:val="0"/>
                <w:szCs w:val="21"/>
                <w:lang w:val="en-US" w:eastAsia="zh-CN"/>
              </w:rPr>
              <w:t>4</w:t>
            </w:r>
            <w:r>
              <w:rPr>
                <w:rFonts w:hint="eastAsia" w:ascii="宋体" w:hAnsi="宋体" w:cs="宋体"/>
                <w:kern w:val="0"/>
                <w:szCs w:val="21"/>
              </w:rPr>
              <w:t>%</w:t>
            </w:r>
          </w:p>
        </w:tc>
        <w:tc>
          <w:tcPr>
            <w:tcW w:w="570" w:type="dxa"/>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4</w:t>
            </w:r>
          </w:p>
        </w:tc>
        <w:tc>
          <w:tcPr>
            <w:tcW w:w="5392" w:type="dxa"/>
            <w:tcBorders>
              <w:top w:val="single" w:color="auto" w:sz="4" w:space="0"/>
              <w:left w:val="single" w:color="auto" w:sz="4" w:space="0"/>
              <w:bottom w:val="single" w:color="auto" w:sz="4" w:space="0"/>
              <w:right w:val="single" w:color="auto" w:sz="4" w:space="0"/>
            </w:tcBorders>
            <w:vAlign w:val="center"/>
          </w:tcPr>
          <w:p>
            <w:pPr>
              <w:jc w:val="left"/>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响应文件制作规范，没有细微偏差情形的得</w:t>
            </w:r>
            <w:r>
              <w:rPr>
                <w:rFonts w:hint="eastAsia" w:ascii="宋体" w:hAnsi="宋体" w:cs="宋体"/>
                <w:kern w:val="0"/>
                <w:sz w:val="21"/>
                <w:szCs w:val="21"/>
                <w:lang w:val="en-US" w:eastAsia="zh-CN" w:bidi="ar-SA"/>
              </w:rPr>
              <w:t>4</w:t>
            </w:r>
            <w:r>
              <w:rPr>
                <w:rFonts w:hint="eastAsia" w:ascii="宋体" w:hAnsi="宋体" w:eastAsia="宋体" w:cs="宋体"/>
                <w:kern w:val="0"/>
                <w:sz w:val="21"/>
                <w:szCs w:val="21"/>
                <w:lang w:val="en-US" w:eastAsia="zh-CN" w:bidi="ar-SA"/>
              </w:rPr>
              <w:t>分；有一项细微偏差扣1 分，直至该项分值扣完为止。</w:t>
            </w:r>
          </w:p>
        </w:tc>
        <w:tc>
          <w:tcPr>
            <w:tcW w:w="1275" w:type="dxa"/>
            <w:tcBorders>
              <w:top w:val="single" w:color="auto" w:sz="4" w:space="0"/>
              <w:left w:val="single" w:color="auto" w:sz="4" w:space="0"/>
              <w:bottom w:val="single" w:color="auto" w:sz="4" w:space="0"/>
              <w:right w:val="single" w:color="auto" w:sz="4" w:space="0"/>
            </w:tcBorders>
            <w:vAlign w:val="center"/>
          </w:tcPr>
          <w:p>
            <w:pPr>
              <w:adjustRightInd w:val="0"/>
              <w:jc w:val="center"/>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以实际竞选文件为准</w:t>
            </w:r>
          </w:p>
        </w:tc>
        <w:tc>
          <w:tcPr>
            <w:tcW w:w="1275" w:type="dxa"/>
            <w:tcBorders>
              <w:top w:val="single" w:color="auto" w:sz="4" w:space="0"/>
              <w:left w:val="single" w:color="auto" w:sz="4" w:space="0"/>
              <w:bottom w:val="single" w:color="auto" w:sz="4" w:space="0"/>
              <w:right w:val="single" w:color="auto" w:sz="4" w:space="0"/>
            </w:tcBorders>
            <w:vAlign w:val="center"/>
          </w:tcPr>
          <w:p>
            <w:pPr>
              <w:adjustRightInd w:val="0"/>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共同评分因素</w:t>
            </w:r>
          </w:p>
        </w:tc>
      </w:tr>
    </w:tbl>
    <w:p>
      <w:pPr>
        <w:pStyle w:val="2"/>
        <w:jc w:val="center"/>
        <w:rPr>
          <w:rFonts w:hint="eastAsia" w:eastAsia="宋体"/>
          <w:b/>
          <w:sz w:val="36"/>
          <w:szCs w:val="36"/>
          <w:lang w:val="en-US" w:eastAsia="zh-CN"/>
        </w:rPr>
      </w:pPr>
      <w:r>
        <w:rPr>
          <w:rFonts w:hint="eastAsia"/>
          <w:b/>
          <w:sz w:val="36"/>
          <w:szCs w:val="36"/>
          <w:lang w:eastAsia="zh-CN"/>
        </w:rPr>
        <w:t>除颤监护仪</w:t>
      </w:r>
      <w:r>
        <w:rPr>
          <w:rFonts w:hint="eastAsia"/>
          <w:b/>
          <w:sz w:val="36"/>
          <w:szCs w:val="36"/>
        </w:rPr>
        <w:t>评分标</w:t>
      </w:r>
      <w:r>
        <w:rPr>
          <w:b/>
          <w:sz w:val="36"/>
          <w:szCs w:val="36"/>
        </w:rPr>
        <w:t>准</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0F54"/>
    <w:rsid w:val="000A762D"/>
    <w:rsid w:val="000D7FF5"/>
    <w:rsid w:val="002867F5"/>
    <w:rsid w:val="002C0085"/>
    <w:rsid w:val="00323449"/>
    <w:rsid w:val="003633A7"/>
    <w:rsid w:val="003E468E"/>
    <w:rsid w:val="003F3C2F"/>
    <w:rsid w:val="004B06AB"/>
    <w:rsid w:val="0050328A"/>
    <w:rsid w:val="00582AFE"/>
    <w:rsid w:val="005853D6"/>
    <w:rsid w:val="005D3783"/>
    <w:rsid w:val="007B0351"/>
    <w:rsid w:val="00890F54"/>
    <w:rsid w:val="00CA18BC"/>
    <w:rsid w:val="00D0556A"/>
    <w:rsid w:val="00D347E7"/>
    <w:rsid w:val="00E34282"/>
    <w:rsid w:val="00E93CF4"/>
    <w:rsid w:val="00E96486"/>
    <w:rsid w:val="02922AD0"/>
    <w:rsid w:val="031E6EB2"/>
    <w:rsid w:val="04E16678"/>
    <w:rsid w:val="0A0656E1"/>
    <w:rsid w:val="0AC66F09"/>
    <w:rsid w:val="107D0BC1"/>
    <w:rsid w:val="122E0869"/>
    <w:rsid w:val="17761798"/>
    <w:rsid w:val="263D1564"/>
    <w:rsid w:val="297F3D14"/>
    <w:rsid w:val="29FD4C14"/>
    <w:rsid w:val="2B253E56"/>
    <w:rsid w:val="301B550C"/>
    <w:rsid w:val="34B8090A"/>
    <w:rsid w:val="40BB1660"/>
    <w:rsid w:val="41966202"/>
    <w:rsid w:val="41C6092D"/>
    <w:rsid w:val="46251CAF"/>
    <w:rsid w:val="48C01091"/>
    <w:rsid w:val="49144016"/>
    <w:rsid w:val="4B22571F"/>
    <w:rsid w:val="4DDF21A3"/>
    <w:rsid w:val="59D3628A"/>
    <w:rsid w:val="5FA57068"/>
    <w:rsid w:val="61EC17D1"/>
    <w:rsid w:val="63DC1478"/>
    <w:rsid w:val="6A7549BF"/>
    <w:rsid w:val="79223063"/>
    <w:rsid w:val="7C173C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13"/>
    <w:semiHidden/>
    <w:unhideWhenUsed/>
    <w:qFormat/>
    <w:uiPriority w:val="99"/>
    <w:pPr>
      <w:spacing w:after="120"/>
    </w:pPr>
  </w:style>
  <w:style w:type="paragraph" w:styleId="3">
    <w:name w:val="Body Text First Indent"/>
    <w:basedOn w:val="2"/>
    <w:qFormat/>
    <w:uiPriority w:val="0"/>
    <w:pPr>
      <w:ind w:firstLine="420" w:firstLineChars="100"/>
    </w:pPr>
  </w:style>
  <w:style w:type="paragraph" w:styleId="4">
    <w:name w:val="annotation text"/>
    <w:basedOn w:val="1"/>
    <w:link w:val="11"/>
    <w:qFormat/>
    <w:uiPriority w:val="99"/>
    <w:pPr>
      <w:jc w:val="left"/>
    </w:pPr>
    <w:rPr>
      <w:rFonts w:asciiTheme="minorHAnsi" w:hAnsiTheme="minorHAnsi" w:cstheme="minorBidi"/>
    </w:rPr>
  </w:style>
  <w:style w:type="paragraph" w:styleId="5">
    <w:name w:val="Balloon Text"/>
    <w:basedOn w:val="1"/>
    <w:link w:val="16"/>
    <w:semiHidden/>
    <w:unhideWhenUsed/>
    <w:qFormat/>
    <w:uiPriority w:val="99"/>
    <w:rPr>
      <w:sz w:val="18"/>
      <w:szCs w:val="18"/>
    </w:rPr>
  </w:style>
  <w:style w:type="paragraph" w:styleId="6">
    <w:name w:val="footer"/>
    <w:basedOn w:val="1"/>
    <w:link w:val="15"/>
    <w:unhideWhenUsed/>
    <w:qFormat/>
    <w:uiPriority w:val="99"/>
    <w:pPr>
      <w:tabs>
        <w:tab w:val="center" w:pos="4153"/>
        <w:tab w:val="right" w:pos="8306"/>
      </w:tabs>
      <w:snapToGrid w:val="0"/>
      <w:jc w:val="left"/>
    </w:pPr>
    <w:rPr>
      <w:sz w:val="18"/>
      <w:szCs w:val="18"/>
    </w:rPr>
  </w:style>
  <w:style w:type="paragraph" w:styleId="7">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批注文字 Char"/>
    <w:link w:val="4"/>
    <w:qFormat/>
    <w:uiPriority w:val="99"/>
    <w:rPr>
      <w:rFonts w:eastAsia="宋体"/>
      <w:szCs w:val="24"/>
    </w:rPr>
  </w:style>
  <w:style w:type="character" w:customStyle="1" w:styleId="12">
    <w:name w:val="批注文字 Char1"/>
    <w:basedOn w:val="10"/>
    <w:semiHidden/>
    <w:qFormat/>
    <w:uiPriority w:val="99"/>
    <w:rPr>
      <w:rFonts w:ascii="Times New Roman" w:hAnsi="Times New Roman" w:eastAsia="宋体" w:cs="Times New Roman"/>
      <w:szCs w:val="24"/>
    </w:rPr>
  </w:style>
  <w:style w:type="character" w:customStyle="1" w:styleId="13">
    <w:name w:val="正文文本 Char"/>
    <w:basedOn w:val="10"/>
    <w:link w:val="2"/>
    <w:semiHidden/>
    <w:qFormat/>
    <w:uiPriority w:val="99"/>
    <w:rPr>
      <w:rFonts w:ascii="Times New Roman" w:hAnsi="Times New Roman" w:eastAsia="宋体" w:cs="Times New Roman"/>
      <w:szCs w:val="24"/>
    </w:rPr>
  </w:style>
  <w:style w:type="character" w:customStyle="1" w:styleId="14">
    <w:name w:val="页眉 Char"/>
    <w:basedOn w:val="10"/>
    <w:link w:val="7"/>
    <w:qFormat/>
    <w:uiPriority w:val="99"/>
    <w:rPr>
      <w:rFonts w:ascii="Times New Roman" w:hAnsi="Times New Roman" w:eastAsia="宋体" w:cs="Times New Roman"/>
      <w:sz w:val="18"/>
      <w:szCs w:val="18"/>
    </w:rPr>
  </w:style>
  <w:style w:type="character" w:customStyle="1" w:styleId="15">
    <w:name w:val="页脚 Char"/>
    <w:basedOn w:val="10"/>
    <w:link w:val="6"/>
    <w:qFormat/>
    <w:uiPriority w:val="99"/>
    <w:rPr>
      <w:rFonts w:ascii="Times New Roman" w:hAnsi="Times New Roman" w:eastAsia="宋体" w:cs="Times New Roman"/>
      <w:sz w:val="18"/>
      <w:szCs w:val="18"/>
    </w:rPr>
  </w:style>
  <w:style w:type="character" w:customStyle="1" w:styleId="16">
    <w:name w:val="批注框文本 Char"/>
    <w:basedOn w:val="10"/>
    <w:link w:val="5"/>
    <w:semiHidden/>
    <w:qFormat/>
    <w:uiPriority w:val="99"/>
    <w:rPr>
      <w:rFonts w:ascii="Times New Roman" w:hAnsi="Times New Roman" w:eastAsia="宋体" w:cs="Times New Roman"/>
      <w:sz w:val="18"/>
      <w:szCs w:val="18"/>
    </w:rPr>
  </w:style>
  <w:style w:type="paragraph" w:customStyle="1" w:styleId="17">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89</Words>
  <Characters>509</Characters>
  <Lines>4</Lines>
  <Paragraphs>1</Paragraphs>
  <TotalTime>4</TotalTime>
  <ScaleCrop>false</ScaleCrop>
  <LinksUpToDate>false</LinksUpToDate>
  <CharactersWithSpaces>597</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2020-05-27T09:05:00Z</dcterms:created>
  <dc:creator>Administrator</dc:creator>
  <cp:lastModifiedBy>adminstrator</cp:lastModifiedBy>
  <cp:lastPrinted>2020-11-09T07:27:00Z</cp:lastPrinted>
  <dcterms:modified xsi:type="dcterms:W3CDTF">2020-11-09T09:16:44Z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