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pPr w:leftFromText="180" w:rightFromText="180" w:vertAnchor="page" w:horzAnchor="page" w:tblpX="1010" w:tblpY="2605"/>
        <w:tblW w:w="10242" w:type="dxa"/>
        <w:tblInd w:w="0" w:type="dxa"/>
        <w:tblLayout w:type="fixed"/>
        <w:tblCellMar>
          <w:top w:w="0" w:type="dxa"/>
          <w:left w:w="108" w:type="dxa"/>
          <w:bottom w:w="0" w:type="dxa"/>
          <w:right w:w="108" w:type="dxa"/>
        </w:tblCellMar>
      </w:tblPr>
      <w:tblGrid>
        <w:gridCol w:w="635"/>
        <w:gridCol w:w="1095"/>
        <w:gridCol w:w="570"/>
        <w:gridCol w:w="5392"/>
        <w:gridCol w:w="1275"/>
        <w:gridCol w:w="1275"/>
      </w:tblGrid>
      <w:tr>
        <w:tblPrEx>
          <w:tblCellMar>
            <w:top w:w="0" w:type="dxa"/>
            <w:left w:w="108" w:type="dxa"/>
            <w:bottom w:w="0" w:type="dxa"/>
            <w:right w:w="108" w:type="dxa"/>
          </w:tblCellMar>
        </w:tblPrEx>
        <w:trPr>
          <w:trHeight w:val="725" w:hRule="atLeast"/>
        </w:trPr>
        <w:tc>
          <w:tcPr>
            <w:tcW w:w="635"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序号</w:t>
            </w:r>
          </w:p>
        </w:tc>
        <w:tc>
          <w:tcPr>
            <w:tcW w:w="1095" w:type="dxa"/>
            <w:tcBorders>
              <w:top w:val="single" w:color="auto" w:sz="8" w:space="0"/>
              <w:left w:val="nil"/>
              <w:bottom w:val="single" w:color="auto" w:sz="4" w:space="0"/>
              <w:right w:val="single" w:color="auto" w:sz="8" w:space="0"/>
            </w:tcBorders>
            <w:vAlign w:val="center"/>
          </w:tcPr>
          <w:p>
            <w:pPr>
              <w:widowControl/>
              <w:rPr>
                <w:rFonts w:ascii="宋体" w:hAnsi="宋体" w:cs="宋体"/>
                <w:kern w:val="0"/>
                <w:szCs w:val="21"/>
              </w:rPr>
            </w:pPr>
            <w:r>
              <w:rPr>
                <w:rFonts w:hint="eastAsia" w:ascii="宋体" w:hAnsi="宋体" w:cs="宋体"/>
                <w:kern w:val="0"/>
                <w:szCs w:val="21"/>
              </w:rPr>
              <w:t>评分因素</w:t>
            </w:r>
          </w:p>
          <w:p>
            <w:pPr>
              <w:rPr>
                <w:rFonts w:ascii="宋体" w:hAnsi="宋体" w:cs="宋体"/>
                <w:kern w:val="0"/>
                <w:szCs w:val="21"/>
              </w:rPr>
            </w:pPr>
            <w:r>
              <w:rPr>
                <w:rFonts w:hint="eastAsia" w:ascii="宋体" w:hAnsi="宋体" w:cs="宋体"/>
                <w:kern w:val="0"/>
                <w:szCs w:val="21"/>
              </w:rPr>
              <w:t>及权重</w:t>
            </w:r>
          </w:p>
        </w:tc>
        <w:tc>
          <w:tcPr>
            <w:tcW w:w="570" w:type="dxa"/>
            <w:tcBorders>
              <w:top w:val="single" w:color="auto" w:sz="8" w:space="0"/>
              <w:left w:val="single" w:color="auto" w:sz="8" w:space="0"/>
              <w:bottom w:val="single" w:color="auto" w:sz="4"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分　值</w:t>
            </w:r>
          </w:p>
        </w:tc>
        <w:tc>
          <w:tcPr>
            <w:tcW w:w="5392"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评分标准</w:t>
            </w:r>
          </w:p>
        </w:tc>
        <w:tc>
          <w:tcPr>
            <w:tcW w:w="1275" w:type="dxa"/>
            <w:tcBorders>
              <w:top w:val="single" w:color="auto" w:sz="8" w:space="0"/>
              <w:left w:val="single" w:color="auto" w:sz="8" w:space="0"/>
              <w:bottom w:val="single" w:color="000000" w:sz="8" w:space="0"/>
              <w:right w:val="single" w:color="auto" w:sz="8" w:space="0"/>
            </w:tcBorders>
            <w:vAlign w:val="center"/>
          </w:tcPr>
          <w:p>
            <w:pPr>
              <w:widowControl/>
              <w:jc w:val="center"/>
              <w:rPr>
                <w:rFonts w:hint="eastAsia" w:ascii="宋体" w:hAnsi="宋体" w:eastAsia="宋体" w:cs="宋体"/>
                <w:kern w:val="0"/>
                <w:szCs w:val="21"/>
                <w:lang w:eastAsia="zh-CN"/>
              </w:rPr>
            </w:pPr>
            <w:r>
              <w:rPr>
                <w:rFonts w:hint="eastAsia" w:ascii="宋体" w:hAnsi="宋体" w:cs="宋体"/>
                <w:kern w:val="0"/>
                <w:szCs w:val="21"/>
                <w:lang w:eastAsia="zh-CN"/>
              </w:rPr>
              <w:t>说明</w:t>
            </w:r>
          </w:p>
        </w:tc>
        <w:tc>
          <w:tcPr>
            <w:tcW w:w="1275"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备注</w:t>
            </w:r>
          </w:p>
        </w:tc>
      </w:tr>
      <w:tr>
        <w:tblPrEx>
          <w:tblCellMar>
            <w:top w:w="0" w:type="dxa"/>
            <w:left w:w="108" w:type="dxa"/>
            <w:bottom w:w="0" w:type="dxa"/>
            <w:right w:w="108" w:type="dxa"/>
          </w:tblCellMar>
        </w:tblPrEx>
        <w:trPr>
          <w:trHeight w:val="3084" w:hRule="atLeast"/>
        </w:trPr>
        <w:tc>
          <w:tcPr>
            <w:tcW w:w="635" w:type="dxa"/>
            <w:tcBorders>
              <w:top w:val="nil"/>
              <w:left w:val="single" w:color="auto" w:sz="8" w:space="0"/>
              <w:bottom w:val="single" w:color="000000" w:sz="8" w:space="0"/>
              <w:right w:val="single" w:color="auto" w:sz="8" w:space="0"/>
            </w:tcBorders>
            <w:vAlign w:val="center"/>
          </w:tcPr>
          <w:p>
            <w:pPr>
              <w:pStyle w:val="4"/>
              <w:jc w:val="center"/>
              <w:rPr>
                <w:rFonts w:ascii="宋体" w:hAnsi="宋体" w:cs="宋体"/>
                <w:kern w:val="0"/>
                <w:szCs w:val="21"/>
              </w:rPr>
            </w:pPr>
            <w:r>
              <w:rPr>
                <w:rFonts w:hint="eastAsia" w:ascii="宋体" w:hAnsi="宋体" w:cs="宋体"/>
                <w:kern w:val="0"/>
                <w:szCs w:val="21"/>
              </w:rPr>
              <w:t>1</w:t>
            </w:r>
          </w:p>
        </w:tc>
        <w:tc>
          <w:tcPr>
            <w:tcW w:w="1095" w:type="dxa"/>
            <w:tcBorders>
              <w:top w:val="single" w:color="auto" w:sz="4" w:space="0"/>
              <w:left w:val="single" w:color="auto" w:sz="8" w:space="0"/>
              <w:bottom w:val="single" w:color="000000" w:sz="8" w:space="0"/>
              <w:right w:val="single" w:color="auto" w:sz="8" w:space="0"/>
            </w:tcBorders>
            <w:vAlign w:val="center"/>
          </w:tcPr>
          <w:p>
            <w:pPr>
              <w:pStyle w:val="4"/>
              <w:rPr>
                <w:rFonts w:hint="eastAsia" w:ascii="宋体" w:hAnsi="宋体" w:cs="宋体"/>
                <w:kern w:val="0"/>
                <w:szCs w:val="21"/>
              </w:rPr>
            </w:pPr>
            <w:r>
              <w:rPr>
                <w:rFonts w:hint="eastAsia" w:ascii="宋体" w:hAnsi="宋体" w:cs="宋体"/>
                <w:kern w:val="0"/>
                <w:szCs w:val="21"/>
              </w:rPr>
              <w:t>报价</w:t>
            </w:r>
            <w:r>
              <w:rPr>
                <w:rFonts w:hint="eastAsia" w:ascii="宋体" w:hAnsi="宋体" w:cs="宋体"/>
                <w:kern w:val="0"/>
                <w:szCs w:val="21"/>
                <w:lang w:eastAsia="zh-CN"/>
              </w:rPr>
              <w:t>（主要评分因素）</w:t>
            </w:r>
            <w:r>
              <w:rPr>
                <w:rFonts w:hint="eastAsia" w:ascii="宋体" w:hAnsi="宋体" w:cs="宋体"/>
                <w:kern w:val="0"/>
                <w:szCs w:val="21"/>
              </w:rPr>
              <w:t xml:space="preserve"> </w:t>
            </w:r>
            <w:r>
              <w:rPr>
                <w:rFonts w:hint="eastAsia" w:ascii="宋体" w:hAnsi="宋体" w:cs="宋体"/>
                <w:kern w:val="0"/>
                <w:szCs w:val="21"/>
                <w:lang w:val="en-US" w:eastAsia="zh-CN"/>
              </w:rPr>
              <w:t>39</w:t>
            </w:r>
            <w:r>
              <w:rPr>
                <w:rFonts w:hint="eastAsia" w:ascii="宋体" w:hAnsi="宋体" w:cs="宋体"/>
                <w:kern w:val="0"/>
                <w:szCs w:val="21"/>
              </w:rPr>
              <w:t>%</w:t>
            </w:r>
          </w:p>
        </w:tc>
        <w:tc>
          <w:tcPr>
            <w:tcW w:w="570" w:type="dxa"/>
            <w:tcBorders>
              <w:top w:val="single" w:color="auto" w:sz="4" w:space="0"/>
              <w:left w:val="single" w:color="auto" w:sz="8" w:space="0"/>
              <w:bottom w:val="single" w:color="auto" w:sz="4" w:space="0"/>
              <w:right w:val="single" w:color="auto" w:sz="8" w:space="0"/>
            </w:tcBorders>
            <w:vAlign w:val="center"/>
          </w:tcPr>
          <w:p>
            <w:pPr>
              <w:pStyle w:val="4"/>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39</w:t>
            </w:r>
          </w:p>
        </w:tc>
        <w:tc>
          <w:tcPr>
            <w:tcW w:w="5392" w:type="dxa"/>
            <w:tcBorders>
              <w:top w:val="nil"/>
              <w:left w:val="nil"/>
              <w:bottom w:val="single" w:color="auto" w:sz="4" w:space="0"/>
              <w:right w:val="single" w:color="auto" w:sz="8" w:space="0"/>
            </w:tcBorders>
            <w:vAlign w:val="center"/>
          </w:tcPr>
          <w:p>
            <w:pPr>
              <w:pStyle w:val="4"/>
              <w:rPr>
                <w:rFonts w:hint="eastAsia" w:ascii="宋体" w:hAnsi="宋体" w:cs="宋体"/>
                <w:kern w:val="0"/>
                <w:szCs w:val="21"/>
              </w:rPr>
            </w:pPr>
            <w:r>
              <w:rPr>
                <w:rFonts w:hint="eastAsia" w:ascii="宋体" w:hAnsi="宋体" w:cs="宋体"/>
                <w:kern w:val="0"/>
                <w:szCs w:val="21"/>
              </w:rPr>
              <w:t>统一采用低价优先法计算，即该品种满足竞选文件要求且竞选价格最低的竞选报价为评标基准价，其价格分为</w:t>
            </w:r>
            <w:r>
              <w:rPr>
                <w:rFonts w:hint="eastAsia" w:ascii="宋体" w:hAnsi="宋体" w:cs="宋体"/>
                <w:kern w:val="0"/>
                <w:szCs w:val="21"/>
                <w:lang w:val="en-US" w:eastAsia="zh-CN"/>
              </w:rPr>
              <w:t>39</w:t>
            </w:r>
            <w:r>
              <w:rPr>
                <w:rFonts w:hint="eastAsia" w:ascii="宋体" w:hAnsi="宋体" w:cs="宋体"/>
                <w:kern w:val="0"/>
                <w:szCs w:val="21"/>
              </w:rPr>
              <w:t>分。其他投标单位的价格分统一按照下列公式计算：竞选报价得分=(评标基准价／投标报价)×</w:t>
            </w:r>
            <w:r>
              <w:rPr>
                <w:rFonts w:hint="eastAsia" w:ascii="宋体" w:hAnsi="宋体" w:cs="宋体"/>
                <w:kern w:val="0"/>
                <w:szCs w:val="21"/>
                <w:lang w:val="en-US" w:eastAsia="zh-CN"/>
              </w:rPr>
              <w:t>39</w:t>
            </w:r>
            <w:r>
              <w:rPr>
                <w:rFonts w:hint="eastAsia" w:ascii="宋体" w:hAnsi="宋体" w:cs="宋体"/>
                <w:kern w:val="0"/>
                <w:szCs w:val="21"/>
              </w:rPr>
              <w:t>%×100。</w:t>
            </w:r>
          </w:p>
        </w:tc>
        <w:tc>
          <w:tcPr>
            <w:tcW w:w="1275" w:type="dxa"/>
            <w:tcBorders>
              <w:top w:val="nil"/>
              <w:left w:val="nil"/>
              <w:bottom w:val="single" w:color="auto" w:sz="4" w:space="0"/>
              <w:right w:val="single" w:color="auto" w:sz="8" w:space="0"/>
            </w:tcBorders>
            <w:vAlign w:val="center"/>
          </w:tcPr>
          <w:p>
            <w:pPr>
              <w:pStyle w:val="4"/>
              <w:jc w:val="center"/>
              <w:rPr>
                <w:rFonts w:hint="eastAsia" w:ascii="宋体" w:hAnsi="宋体" w:cs="宋体"/>
                <w:kern w:val="0"/>
                <w:szCs w:val="21"/>
                <w:lang w:eastAsia="zh-CN"/>
              </w:rPr>
            </w:pPr>
          </w:p>
        </w:tc>
        <w:tc>
          <w:tcPr>
            <w:tcW w:w="1275" w:type="dxa"/>
            <w:tcBorders>
              <w:top w:val="nil"/>
              <w:left w:val="nil"/>
              <w:bottom w:val="single" w:color="auto" w:sz="4" w:space="0"/>
              <w:right w:val="single" w:color="auto" w:sz="8" w:space="0"/>
            </w:tcBorders>
            <w:vAlign w:val="center"/>
          </w:tcPr>
          <w:p>
            <w:pPr>
              <w:pStyle w:val="4"/>
              <w:jc w:val="center"/>
              <w:rPr>
                <w:rFonts w:hint="eastAsia" w:ascii="宋体" w:hAnsi="宋体" w:cs="宋体"/>
                <w:kern w:val="0"/>
                <w:szCs w:val="21"/>
              </w:rPr>
            </w:pPr>
            <w:r>
              <w:rPr>
                <w:rFonts w:hint="eastAsia" w:ascii="宋体" w:hAnsi="宋体" w:cs="宋体"/>
                <w:kern w:val="0"/>
                <w:szCs w:val="21"/>
                <w:lang w:eastAsia="zh-CN"/>
              </w:rPr>
              <w:t>共同评分因素</w:t>
            </w:r>
          </w:p>
        </w:tc>
      </w:tr>
      <w:tr>
        <w:tblPrEx>
          <w:tblCellMar>
            <w:top w:w="0" w:type="dxa"/>
            <w:left w:w="108" w:type="dxa"/>
            <w:bottom w:w="0" w:type="dxa"/>
            <w:right w:w="108" w:type="dxa"/>
          </w:tblCellMar>
        </w:tblPrEx>
        <w:trPr>
          <w:trHeight w:val="1705" w:hRule="atLeast"/>
        </w:trPr>
        <w:tc>
          <w:tcPr>
            <w:tcW w:w="635" w:type="dxa"/>
            <w:tcBorders>
              <w:top w:val="nil"/>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2</w:t>
            </w:r>
          </w:p>
        </w:tc>
        <w:tc>
          <w:tcPr>
            <w:tcW w:w="1095" w:type="dxa"/>
            <w:tcBorders>
              <w:top w:val="nil"/>
              <w:left w:val="nil"/>
              <w:bottom w:val="single" w:color="auto" w:sz="4" w:space="0"/>
              <w:right w:val="single" w:color="auto" w:sz="8" w:space="0"/>
            </w:tcBorders>
            <w:vAlign w:val="center"/>
          </w:tcPr>
          <w:p>
            <w:pPr>
              <w:widowControl/>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技术指标（主要评分因素）</w:t>
            </w:r>
            <w:r>
              <w:rPr>
                <w:rFonts w:hint="eastAsia" w:ascii="宋体" w:hAnsi="宋体" w:cs="宋体"/>
                <w:kern w:val="0"/>
                <w:sz w:val="21"/>
                <w:szCs w:val="21"/>
                <w:lang w:val="en-US" w:eastAsia="zh-CN" w:bidi="ar-SA"/>
              </w:rPr>
              <w:t>48</w:t>
            </w:r>
            <w:r>
              <w:rPr>
                <w:rFonts w:hint="eastAsia" w:ascii="宋体" w:hAnsi="宋体" w:eastAsia="宋体" w:cs="宋体"/>
                <w:kern w:val="0"/>
                <w:sz w:val="21"/>
                <w:szCs w:val="21"/>
                <w:lang w:val="en-US" w:eastAsia="zh-CN" w:bidi="ar-SA"/>
              </w:rPr>
              <w:t>%</w:t>
            </w:r>
          </w:p>
        </w:tc>
        <w:tc>
          <w:tcPr>
            <w:tcW w:w="570" w:type="dxa"/>
            <w:tcBorders>
              <w:top w:val="single" w:color="auto" w:sz="4" w:space="0"/>
              <w:left w:val="single" w:color="auto" w:sz="8" w:space="0"/>
              <w:bottom w:val="single" w:color="auto" w:sz="4" w:space="0"/>
              <w:right w:val="single" w:color="auto" w:sz="8" w:space="0"/>
            </w:tcBorders>
            <w:vAlign w:val="center"/>
          </w:tcPr>
          <w:p>
            <w:pPr>
              <w:widowControl/>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48</w:t>
            </w:r>
          </w:p>
        </w:tc>
        <w:tc>
          <w:tcPr>
            <w:tcW w:w="5392" w:type="dxa"/>
            <w:tcBorders>
              <w:top w:val="single" w:color="auto" w:sz="4" w:space="0"/>
              <w:left w:val="single" w:color="auto" w:sz="8" w:space="0"/>
              <w:bottom w:val="single" w:color="000000" w:sz="8" w:space="0"/>
              <w:right w:val="single" w:color="auto" w:sz="8" w:space="0"/>
            </w:tcBorders>
            <w:vAlign w:val="center"/>
          </w:tcPr>
          <w:p>
            <w:pPr>
              <w:adjustRightInd w:val="0"/>
              <w:spacing w:line="240" w:lineRule="atLeas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技术指标完全符合竞选文件要求没有负偏离得</w:t>
            </w:r>
            <w:r>
              <w:rPr>
                <w:rFonts w:hint="eastAsia" w:ascii="宋体" w:hAnsi="宋体" w:cs="宋体"/>
                <w:kern w:val="0"/>
                <w:sz w:val="21"/>
                <w:szCs w:val="21"/>
                <w:lang w:val="en-US" w:eastAsia="zh-CN" w:bidi="ar-SA"/>
              </w:rPr>
              <w:t>48</w:t>
            </w:r>
            <w:r>
              <w:rPr>
                <w:rFonts w:hint="eastAsia" w:ascii="宋体" w:hAnsi="宋体" w:eastAsia="宋体" w:cs="宋体"/>
                <w:kern w:val="0"/>
                <w:sz w:val="21"/>
                <w:szCs w:val="21"/>
                <w:lang w:val="en-US" w:eastAsia="zh-CN" w:bidi="ar-SA"/>
              </w:rPr>
              <w:t>分，技术指标不满足竞选文件要求负偏离一项扣</w:t>
            </w:r>
            <w:r>
              <w:rPr>
                <w:rFonts w:hint="eastAsia" w:ascii="宋体" w:hAnsi="宋体" w:cs="宋体"/>
                <w:kern w:val="0"/>
                <w:sz w:val="21"/>
                <w:szCs w:val="21"/>
                <w:lang w:val="en-US" w:eastAsia="zh-CN" w:bidi="ar-SA"/>
              </w:rPr>
              <w:t>2</w:t>
            </w:r>
            <w:r>
              <w:rPr>
                <w:rFonts w:hint="eastAsia" w:ascii="宋体" w:hAnsi="宋体" w:eastAsia="宋体" w:cs="宋体"/>
                <w:kern w:val="0"/>
                <w:sz w:val="21"/>
                <w:szCs w:val="21"/>
                <w:lang w:val="en-US" w:eastAsia="zh-CN" w:bidi="ar-SA"/>
              </w:rPr>
              <w:t>分，扣完为止。</w:t>
            </w:r>
          </w:p>
          <w:p>
            <w:pPr>
              <w:pStyle w:val="2"/>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竞选人需提供技术支撑材料，并在技术响应偏离表中注明，否则不予认定。</w:t>
            </w:r>
          </w:p>
        </w:tc>
        <w:tc>
          <w:tcPr>
            <w:tcW w:w="1275" w:type="dxa"/>
            <w:tcBorders>
              <w:top w:val="single" w:color="auto" w:sz="4" w:space="0"/>
              <w:left w:val="single" w:color="auto" w:sz="8" w:space="0"/>
              <w:bottom w:val="single" w:color="000000" w:sz="8"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default" w:ascii="Times New Roman" w:hAnsi="Times New Roman" w:eastAsia="宋体" w:cs="Times New Roman"/>
                <w:i w:val="0"/>
                <w:caps w:val="0"/>
                <w:color w:val="000000"/>
                <w:spacing w:val="0"/>
                <w:sz w:val="21"/>
                <w:szCs w:val="21"/>
                <w:shd w:val="clear" w:fill="FFFFFF"/>
              </w:rPr>
              <w:t>竞选人需提供技术支撑材料，并在技术响应偏离表中注明，否则不予认定</w:t>
            </w:r>
          </w:p>
        </w:tc>
        <w:tc>
          <w:tcPr>
            <w:tcW w:w="1275" w:type="dxa"/>
            <w:tcBorders>
              <w:top w:val="single" w:color="auto" w:sz="4" w:space="0"/>
              <w:left w:val="single" w:color="auto" w:sz="8" w:space="0"/>
              <w:bottom w:val="single" w:color="000000" w:sz="8"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技术类评分因素</w:t>
            </w:r>
          </w:p>
        </w:tc>
      </w:tr>
      <w:tr>
        <w:tblPrEx>
          <w:tblCellMar>
            <w:top w:w="0" w:type="dxa"/>
            <w:left w:w="108" w:type="dxa"/>
            <w:bottom w:w="0" w:type="dxa"/>
            <w:right w:w="108" w:type="dxa"/>
          </w:tblCellMar>
        </w:tblPrEx>
        <w:trPr>
          <w:trHeight w:val="988" w:hRule="atLeast"/>
        </w:trPr>
        <w:tc>
          <w:tcPr>
            <w:tcW w:w="635" w:type="dxa"/>
            <w:tcBorders>
              <w:top w:val="nil"/>
              <w:left w:val="single" w:color="auto" w:sz="8" w:space="0"/>
              <w:bottom w:val="single" w:color="auto" w:sz="4" w:space="0"/>
              <w:right w:val="single" w:color="auto" w:sz="8" w:space="0"/>
            </w:tcBorders>
            <w:vAlign w:val="center"/>
          </w:tcPr>
          <w:p>
            <w:pPr>
              <w:widowControl/>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3</w:t>
            </w:r>
          </w:p>
        </w:tc>
        <w:tc>
          <w:tcPr>
            <w:tcW w:w="1095" w:type="dxa"/>
            <w:tcBorders>
              <w:top w:val="single" w:color="auto" w:sz="4" w:space="0"/>
              <w:left w:val="nil"/>
              <w:bottom w:val="single" w:color="auto" w:sz="4" w:space="0"/>
              <w:right w:val="single" w:color="auto" w:sz="8" w:space="0"/>
            </w:tcBorders>
            <w:vAlign w:val="center"/>
          </w:tcPr>
          <w:p>
            <w:pPr>
              <w:widowControl w:val="0"/>
              <w:jc w:val="center"/>
              <w:rPr>
                <w:rFonts w:hint="eastAsia" w:ascii="宋体" w:hAnsi="宋体" w:eastAsia="宋体" w:cs="宋体"/>
                <w:kern w:val="2"/>
                <w:sz w:val="21"/>
                <w:szCs w:val="24"/>
                <w:lang w:val="en-US" w:eastAsia="zh-CN" w:bidi="ar-SA"/>
              </w:rPr>
            </w:pPr>
            <w:r>
              <w:rPr>
                <w:rFonts w:hint="eastAsia" w:ascii="宋体" w:hAnsi="宋体" w:eastAsia="宋体" w:cs="宋体"/>
                <w:lang w:eastAsia="zh-CN"/>
              </w:rPr>
              <w:t>售后服务</w:t>
            </w:r>
            <w:r>
              <w:rPr>
                <w:rFonts w:hint="eastAsia" w:ascii="宋体" w:hAnsi="宋体" w:cs="宋体"/>
                <w:lang w:val="en-US" w:eastAsia="zh-CN"/>
              </w:rPr>
              <w:t>10</w:t>
            </w:r>
            <w:r>
              <w:rPr>
                <w:rFonts w:hint="eastAsia" w:ascii="宋体" w:hAnsi="宋体" w:eastAsia="宋体" w:cs="宋体"/>
                <w:lang w:eastAsia="zh-CN"/>
              </w:rPr>
              <w:t>%</w:t>
            </w:r>
          </w:p>
        </w:tc>
        <w:tc>
          <w:tcPr>
            <w:tcW w:w="570" w:type="dxa"/>
            <w:tcBorders>
              <w:top w:val="single" w:color="auto" w:sz="4" w:space="0"/>
              <w:left w:val="nil"/>
              <w:bottom w:val="single" w:color="auto" w:sz="4" w:space="0"/>
              <w:right w:val="single" w:color="auto" w:sz="8" w:space="0"/>
            </w:tcBorders>
            <w:vAlign w:val="center"/>
          </w:tcPr>
          <w:p>
            <w:pPr>
              <w:widowControl w:val="0"/>
              <w:jc w:val="center"/>
              <w:rPr>
                <w:rFonts w:hint="default" w:ascii="宋体" w:hAnsi="宋体" w:eastAsia="宋体" w:cs="宋体"/>
                <w:kern w:val="2"/>
                <w:sz w:val="21"/>
                <w:szCs w:val="24"/>
                <w:lang w:val="en-US" w:eastAsia="zh-CN" w:bidi="ar-SA"/>
              </w:rPr>
            </w:pPr>
            <w:r>
              <w:rPr>
                <w:rFonts w:hint="eastAsia" w:ascii="宋体" w:hAnsi="宋体" w:cs="宋体"/>
                <w:lang w:val="en-US" w:eastAsia="zh-CN"/>
              </w:rPr>
              <w:t>10</w:t>
            </w:r>
          </w:p>
        </w:tc>
        <w:tc>
          <w:tcPr>
            <w:tcW w:w="5392" w:type="dxa"/>
            <w:tcBorders>
              <w:top w:val="nil"/>
              <w:left w:val="nil"/>
              <w:bottom w:val="single" w:color="auto" w:sz="4" w:space="0"/>
              <w:right w:val="single" w:color="auto" w:sz="8" w:space="0"/>
            </w:tcBorders>
            <w:vAlign w:val="center"/>
          </w:tcPr>
          <w:p>
            <w:pPr>
              <w:tabs>
                <w:tab w:val="left" w:pos="540"/>
              </w:tabs>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根据竞选人承诺的交货实施方案和响应时间、质量保证范围，售后服务体系等进行综合分析评分：1、有专人负责售后服务。2、承诺任何问题在接到电话后立即响应，并在24小时内处理。3、承诺产品质量问题无条件退货。承诺产品验收前，无条件破损退换。4、按买方要求安排送货。以上项目符合1项得</w:t>
            </w:r>
            <w:r>
              <w:rPr>
                <w:rFonts w:hint="eastAsia" w:ascii="宋体" w:hAnsi="宋体" w:cs="宋体"/>
                <w:kern w:val="0"/>
                <w:sz w:val="21"/>
                <w:szCs w:val="21"/>
                <w:lang w:val="en-US" w:eastAsia="zh-CN" w:bidi="ar-SA"/>
              </w:rPr>
              <w:t>2.5</w:t>
            </w:r>
            <w:r>
              <w:rPr>
                <w:rFonts w:hint="eastAsia" w:ascii="宋体" w:hAnsi="宋体" w:eastAsia="宋体" w:cs="宋体"/>
                <w:kern w:val="0"/>
                <w:sz w:val="21"/>
                <w:szCs w:val="21"/>
                <w:lang w:val="en-US" w:eastAsia="zh-CN" w:bidi="ar-SA"/>
              </w:rPr>
              <w:t>分，最多</w:t>
            </w:r>
            <w:r>
              <w:rPr>
                <w:rFonts w:hint="eastAsia" w:ascii="宋体" w:hAnsi="宋体" w:cs="宋体"/>
                <w:kern w:val="0"/>
                <w:sz w:val="21"/>
                <w:szCs w:val="21"/>
                <w:lang w:val="en-US" w:eastAsia="zh-CN" w:bidi="ar-SA"/>
              </w:rPr>
              <w:t>10</w:t>
            </w:r>
            <w:r>
              <w:rPr>
                <w:rFonts w:hint="eastAsia" w:ascii="宋体" w:hAnsi="宋体" w:eastAsia="宋体" w:cs="宋体"/>
                <w:kern w:val="0"/>
                <w:sz w:val="21"/>
                <w:szCs w:val="21"/>
                <w:lang w:val="en-US" w:eastAsia="zh-CN" w:bidi="ar-SA"/>
              </w:rPr>
              <w:t>分</w:t>
            </w:r>
          </w:p>
        </w:tc>
        <w:tc>
          <w:tcPr>
            <w:tcW w:w="1275" w:type="dxa"/>
            <w:tcBorders>
              <w:top w:val="nil"/>
              <w:left w:val="nil"/>
              <w:bottom w:val="single" w:color="auto" w:sz="4"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以实际竞选文件为准</w:t>
            </w:r>
          </w:p>
        </w:tc>
        <w:tc>
          <w:tcPr>
            <w:tcW w:w="1275" w:type="dxa"/>
            <w:tcBorders>
              <w:top w:val="nil"/>
              <w:left w:val="nil"/>
              <w:bottom w:val="single" w:color="auto" w:sz="4"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共同评分因素</w:t>
            </w:r>
          </w:p>
        </w:tc>
      </w:tr>
      <w:tr>
        <w:tblPrEx>
          <w:tblCellMar>
            <w:top w:w="0" w:type="dxa"/>
            <w:left w:w="108" w:type="dxa"/>
            <w:bottom w:w="0" w:type="dxa"/>
            <w:right w:w="108" w:type="dxa"/>
          </w:tblCellMar>
        </w:tblPrEx>
        <w:trPr>
          <w:trHeight w:val="988" w:hRule="atLeast"/>
        </w:trPr>
        <w:tc>
          <w:tcPr>
            <w:tcW w:w="635" w:type="dxa"/>
            <w:tcBorders>
              <w:top w:val="single" w:color="auto" w:sz="4" w:space="0"/>
              <w:left w:val="single" w:color="auto" w:sz="4" w:space="0"/>
              <w:bottom w:val="single" w:color="auto" w:sz="4" w:space="0"/>
              <w:right w:val="single" w:color="auto" w:sz="4" w:space="0"/>
            </w:tcBorders>
            <w:vAlign w:val="center"/>
          </w:tcPr>
          <w:p>
            <w:pPr>
              <w:ind w:firstLine="210" w:firstLineChars="100"/>
              <w:jc w:val="left"/>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4</w:t>
            </w:r>
          </w:p>
        </w:tc>
        <w:tc>
          <w:tcPr>
            <w:tcW w:w="1095"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kern w:val="0"/>
                <w:sz w:val="21"/>
                <w:szCs w:val="21"/>
                <w:lang w:val="en-US" w:eastAsia="zh-CN" w:bidi="ar-SA"/>
              </w:rPr>
            </w:pPr>
            <w:r>
              <w:rPr>
                <w:rFonts w:hint="eastAsia" w:ascii="宋体" w:hAnsi="宋体" w:cs="宋体"/>
                <w:kern w:val="0"/>
                <w:szCs w:val="21"/>
              </w:rPr>
              <w:t>响应文件的规范性</w:t>
            </w:r>
            <w:r>
              <w:rPr>
                <w:rFonts w:hint="eastAsia" w:ascii="宋体" w:hAnsi="宋体" w:cs="宋体"/>
                <w:kern w:val="0"/>
                <w:szCs w:val="21"/>
                <w:lang w:val="en-US" w:eastAsia="zh-CN"/>
              </w:rPr>
              <w:t>3</w:t>
            </w:r>
            <w:r>
              <w:rPr>
                <w:rFonts w:hint="eastAsia" w:ascii="宋体" w:hAnsi="宋体" w:cs="宋体"/>
                <w:kern w:val="0"/>
                <w:szCs w:val="21"/>
              </w:rPr>
              <w:t>%</w:t>
            </w:r>
          </w:p>
        </w:tc>
        <w:tc>
          <w:tcPr>
            <w:tcW w:w="57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kern w:val="0"/>
                <w:sz w:val="21"/>
                <w:szCs w:val="21"/>
                <w:lang w:val="en-US" w:eastAsia="zh-CN" w:bidi="ar-SA"/>
              </w:rPr>
            </w:pPr>
            <w:r>
              <w:rPr>
                <w:rFonts w:hint="eastAsia" w:ascii="宋体" w:hAnsi="宋体" w:cs="宋体"/>
                <w:kern w:val="0"/>
                <w:szCs w:val="21"/>
                <w:lang w:val="en-US" w:eastAsia="zh-CN"/>
              </w:rPr>
              <w:t>3</w:t>
            </w:r>
          </w:p>
        </w:tc>
        <w:tc>
          <w:tcPr>
            <w:tcW w:w="5392"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响应文件制作规范，没有细微偏差情形的得</w:t>
            </w:r>
            <w:r>
              <w:rPr>
                <w:rFonts w:hint="eastAsia" w:ascii="宋体" w:hAnsi="宋体" w:cs="宋体"/>
                <w:kern w:val="0"/>
                <w:sz w:val="21"/>
                <w:szCs w:val="21"/>
                <w:lang w:val="en-US" w:eastAsia="zh-CN" w:bidi="ar-SA"/>
              </w:rPr>
              <w:t>3</w:t>
            </w:r>
            <w:bookmarkStart w:id="0" w:name="_GoBack"/>
            <w:bookmarkEnd w:id="0"/>
            <w:r>
              <w:rPr>
                <w:rFonts w:hint="eastAsia" w:ascii="宋体" w:hAnsi="宋体" w:eastAsia="宋体" w:cs="宋体"/>
                <w:kern w:val="0"/>
                <w:sz w:val="21"/>
                <w:szCs w:val="21"/>
                <w:lang w:val="en-US" w:eastAsia="zh-CN" w:bidi="ar-SA"/>
              </w:rPr>
              <w:t>分；有一项细微偏差扣1 分，直至该项分值扣完为止。</w:t>
            </w:r>
          </w:p>
        </w:tc>
        <w:tc>
          <w:tcPr>
            <w:tcW w:w="1275"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以实际竞选文件为准</w:t>
            </w:r>
          </w:p>
        </w:tc>
        <w:tc>
          <w:tcPr>
            <w:tcW w:w="1275"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共同评分因素</w:t>
            </w:r>
          </w:p>
        </w:tc>
      </w:tr>
    </w:tbl>
    <w:p>
      <w:pPr>
        <w:pStyle w:val="2"/>
        <w:jc w:val="center"/>
        <w:rPr>
          <w:rFonts w:hint="eastAsia" w:eastAsia="宋体"/>
          <w:b/>
          <w:sz w:val="36"/>
          <w:szCs w:val="36"/>
          <w:lang w:val="en-US" w:eastAsia="zh-CN"/>
        </w:rPr>
      </w:pPr>
      <w:r>
        <w:rPr>
          <w:rFonts w:hint="eastAsia"/>
          <w:b/>
          <w:sz w:val="36"/>
          <w:szCs w:val="36"/>
          <w:lang w:val="en-US" w:eastAsia="zh-CN"/>
        </w:rPr>
        <w:t>高频电刀（妇科LEEP刀）</w:t>
      </w:r>
      <w:r>
        <w:rPr>
          <w:rFonts w:hint="eastAsia"/>
          <w:b/>
          <w:sz w:val="36"/>
          <w:szCs w:val="36"/>
        </w:rPr>
        <w:t>评分标</w:t>
      </w:r>
      <w:r>
        <w:rPr>
          <w:b/>
          <w:sz w:val="36"/>
          <w:szCs w:val="36"/>
        </w:rPr>
        <w:t>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F54"/>
    <w:rsid w:val="000A762D"/>
    <w:rsid w:val="000D7FF5"/>
    <w:rsid w:val="002867F5"/>
    <w:rsid w:val="002C0085"/>
    <w:rsid w:val="00323449"/>
    <w:rsid w:val="003633A7"/>
    <w:rsid w:val="003E468E"/>
    <w:rsid w:val="003F3C2F"/>
    <w:rsid w:val="004B06AB"/>
    <w:rsid w:val="0050328A"/>
    <w:rsid w:val="00582AFE"/>
    <w:rsid w:val="005853D6"/>
    <w:rsid w:val="005D3783"/>
    <w:rsid w:val="007B0351"/>
    <w:rsid w:val="00890F54"/>
    <w:rsid w:val="00CA18BC"/>
    <w:rsid w:val="00D0556A"/>
    <w:rsid w:val="00D347E7"/>
    <w:rsid w:val="00E34282"/>
    <w:rsid w:val="00E93CF4"/>
    <w:rsid w:val="00E96486"/>
    <w:rsid w:val="02922AD0"/>
    <w:rsid w:val="031E6EB2"/>
    <w:rsid w:val="04E16678"/>
    <w:rsid w:val="0A0656E1"/>
    <w:rsid w:val="2050582E"/>
    <w:rsid w:val="25157448"/>
    <w:rsid w:val="263D1564"/>
    <w:rsid w:val="297F3D14"/>
    <w:rsid w:val="29FD4C14"/>
    <w:rsid w:val="2B253E56"/>
    <w:rsid w:val="2EC44FBD"/>
    <w:rsid w:val="41966202"/>
    <w:rsid w:val="41C6092D"/>
    <w:rsid w:val="49A34067"/>
    <w:rsid w:val="4DDF21A3"/>
    <w:rsid w:val="5947344C"/>
    <w:rsid w:val="5B1A19BB"/>
    <w:rsid w:val="5FA57068"/>
    <w:rsid w:val="63DC1478"/>
    <w:rsid w:val="79223063"/>
    <w:rsid w:val="7C173C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3"/>
    <w:semiHidden/>
    <w:unhideWhenUsed/>
    <w:qFormat/>
    <w:uiPriority w:val="99"/>
    <w:pPr>
      <w:spacing w:after="120"/>
    </w:pPr>
  </w:style>
  <w:style w:type="paragraph" w:styleId="3">
    <w:name w:val="Body Text First Indent"/>
    <w:basedOn w:val="2"/>
    <w:qFormat/>
    <w:uiPriority w:val="0"/>
    <w:pPr>
      <w:ind w:firstLine="420" w:firstLineChars="100"/>
    </w:pPr>
  </w:style>
  <w:style w:type="paragraph" w:styleId="4">
    <w:name w:val="annotation text"/>
    <w:basedOn w:val="1"/>
    <w:link w:val="11"/>
    <w:qFormat/>
    <w:uiPriority w:val="99"/>
    <w:pPr>
      <w:jc w:val="left"/>
    </w:pPr>
    <w:rPr>
      <w:rFonts w:asciiTheme="minorHAnsi" w:hAnsiTheme="minorHAnsi" w:cstheme="minorBidi"/>
    </w:rPr>
  </w:style>
  <w:style w:type="paragraph" w:styleId="5">
    <w:name w:val="Balloon Text"/>
    <w:basedOn w:val="1"/>
    <w:link w:val="16"/>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批注文字 Char"/>
    <w:link w:val="4"/>
    <w:qFormat/>
    <w:uiPriority w:val="99"/>
    <w:rPr>
      <w:rFonts w:eastAsia="宋体"/>
      <w:szCs w:val="24"/>
    </w:rPr>
  </w:style>
  <w:style w:type="character" w:customStyle="1" w:styleId="12">
    <w:name w:val="批注文字 Char1"/>
    <w:basedOn w:val="10"/>
    <w:semiHidden/>
    <w:qFormat/>
    <w:uiPriority w:val="99"/>
    <w:rPr>
      <w:rFonts w:ascii="Times New Roman" w:hAnsi="Times New Roman" w:eastAsia="宋体" w:cs="Times New Roman"/>
      <w:szCs w:val="24"/>
    </w:rPr>
  </w:style>
  <w:style w:type="character" w:customStyle="1" w:styleId="13">
    <w:name w:val="正文文本 Char"/>
    <w:basedOn w:val="10"/>
    <w:link w:val="2"/>
    <w:semiHidden/>
    <w:qFormat/>
    <w:uiPriority w:val="99"/>
    <w:rPr>
      <w:rFonts w:ascii="Times New Roman" w:hAnsi="Times New Roman" w:eastAsia="宋体" w:cs="Times New Roman"/>
      <w:szCs w:val="24"/>
    </w:rPr>
  </w:style>
  <w:style w:type="character" w:customStyle="1" w:styleId="14">
    <w:name w:val="页眉 Char"/>
    <w:basedOn w:val="10"/>
    <w:link w:val="7"/>
    <w:qFormat/>
    <w:uiPriority w:val="99"/>
    <w:rPr>
      <w:rFonts w:ascii="Times New Roman" w:hAnsi="Times New Roman" w:eastAsia="宋体" w:cs="Times New Roman"/>
      <w:sz w:val="18"/>
      <w:szCs w:val="18"/>
    </w:rPr>
  </w:style>
  <w:style w:type="character" w:customStyle="1" w:styleId="15">
    <w:name w:val="页脚 Char"/>
    <w:basedOn w:val="10"/>
    <w:link w:val="6"/>
    <w:qFormat/>
    <w:uiPriority w:val="99"/>
    <w:rPr>
      <w:rFonts w:ascii="Times New Roman" w:hAnsi="Times New Roman" w:eastAsia="宋体" w:cs="Times New Roman"/>
      <w:sz w:val="18"/>
      <w:szCs w:val="18"/>
    </w:rPr>
  </w:style>
  <w:style w:type="character" w:customStyle="1" w:styleId="16">
    <w:name w:val="批注框文本 Char"/>
    <w:basedOn w:val="10"/>
    <w:link w:val="5"/>
    <w:semiHidden/>
    <w:qFormat/>
    <w:uiPriority w:val="99"/>
    <w:rPr>
      <w:rFonts w:ascii="Times New Roman" w:hAnsi="Times New Roman" w:eastAsia="宋体" w:cs="Times New Roman"/>
      <w:sz w:val="18"/>
      <w:szCs w:val="18"/>
    </w:rPr>
  </w:style>
  <w:style w:type="paragraph" w:customStyle="1" w:styleId="17">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89</Words>
  <Characters>509</Characters>
  <Lines>4</Lines>
  <Paragraphs>1</Paragraphs>
  <TotalTime>2</TotalTime>
  <ScaleCrop>false</ScaleCrop>
  <LinksUpToDate>false</LinksUpToDate>
  <CharactersWithSpaces>597</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2020-05-27T09:05:00Z</dcterms:created>
  <dc:creator>Administrator</dc:creator>
  <cp:lastModifiedBy>adminstrator</cp:lastModifiedBy>
  <cp:lastPrinted>2020-10-25T08:53:00Z</cp:lastPrinted>
  <dcterms:modified xsi:type="dcterms:W3CDTF">2020-11-18T01:41:40Z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