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widowControl w:val="0"/>
        <w:tabs>
          <w:tab w:val="left" w:pos="6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after="0" w:line="640" w:lineRule="exact"/>
        <w:ind w:left="0" w:lef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  <w:vertAlign w:val="baseline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  <w:vertAlign w:val="baseline"/>
          <w:lang w:eastAsia="zh-CN"/>
        </w:rPr>
        <w:t>新冠核酸快速检测试剂、病毒采样管</w:t>
      </w:r>
    </w:p>
    <w:p>
      <w:pPr>
        <w:pStyle w:val="2"/>
        <w:keepNext w:val="0"/>
        <w:keepLines w:val="0"/>
        <w:pageBreakBefore w:val="0"/>
        <w:widowControl w:val="0"/>
        <w:tabs>
          <w:tab w:val="left" w:pos="6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after="0" w:line="640" w:lineRule="exact"/>
        <w:ind w:left="0" w:lef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  <w:vertAlign w:val="baseline"/>
          <w:lang w:eastAsia="zh-CN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  <w:vertAlign w:val="baseline"/>
          <w:lang w:eastAsia="zh-CN"/>
        </w:rPr>
        <w:t>（样本释放剂）</w:t>
      </w: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  <w:vertAlign w:val="baseline"/>
        </w:rPr>
        <w:t>评分</w:t>
      </w: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  <w:vertAlign w:val="baseline"/>
          <w:lang w:eastAsia="zh-CN"/>
        </w:rPr>
        <w:t>标准</w:t>
      </w:r>
    </w:p>
    <w:tbl>
      <w:tblPr>
        <w:tblStyle w:val="5"/>
        <w:tblpPr w:leftFromText="180" w:rightFromText="180" w:vertAnchor="text" w:horzAnchor="page" w:tblpX="967" w:tblpY="707"/>
        <w:tblOverlap w:val="never"/>
        <w:tblW w:w="1033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"/>
        <w:gridCol w:w="1559"/>
        <w:gridCol w:w="1073"/>
        <w:gridCol w:w="4950"/>
        <w:gridCol w:w="1165"/>
        <w:gridCol w:w="116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6" w:hRule="atLeast"/>
        </w:trPr>
        <w:tc>
          <w:tcPr>
            <w:tcW w:w="426" w:type="dxa"/>
            <w:vAlign w:val="center"/>
          </w:tcPr>
          <w:p>
            <w:pPr>
              <w:spacing w:line="240" w:lineRule="auto"/>
              <w:ind w:firstLine="28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32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32"/>
              </w:rPr>
              <w:t>序号</w:t>
            </w:r>
          </w:p>
        </w:tc>
        <w:tc>
          <w:tcPr>
            <w:tcW w:w="1559" w:type="dxa"/>
            <w:vAlign w:val="center"/>
          </w:tcPr>
          <w:p>
            <w:pPr>
              <w:spacing w:line="240" w:lineRule="auto"/>
              <w:ind w:firstLine="28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32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32"/>
              </w:rPr>
              <w:t>评分因素</w:t>
            </w:r>
          </w:p>
          <w:p>
            <w:pPr>
              <w:spacing w:line="240" w:lineRule="auto"/>
              <w:ind w:firstLine="28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32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32"/>
              </w:rPr>
              <w:t>及权重</w:t>
            </w:r>
          </w:p>
        </w:tc>
        <w:tc>
          <w:tcPr>
            <w:tcW w:w="1073" w:type="dxa"/>
            <w:vAlign w:val="center"/>
          </w:tcPr>
          <w:p>
            <w:pPr>
              <w:spacing w:line="240" w:lineRule="auto"/>
              <w:ind w:firstLine="28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32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32"/>
              </w:rPr>
              <w:t>分值</w:t>
            </w:r>
          </w:p>
        </w:tc>
        <w:tc>
          <w:tcPr>
            <w:tcW w:w="4950" w:type="dxa"/>
            <w:vAlign w:val="center"/>
          </w:tcPr>
          <w:p>
            <w:pPr>
              <w:spacing w:line="240" w:lineRule="auto"/>
              <w:ind w:firstLine="28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32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32"/>
              </w:rPr>
              <w:t>评分标准</w:t>
            </w:r>
          </w:p>
        </w:tc>
        <w:tc>
          <w:tcPr>
            <w:tcW w:w="1165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32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32"/>
              </w:rPr>
              <w:t>说明</w:t>
            </w:r>
          </w:p>
        </w:tc>
        <w:tc>
          <w:tcPr>
            <w:tcW w:w="1165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426" w:type="dxa"/>
            <w:vAlign w:val="center"/>
          </w:tcPr>
          <w:p>
            <w:pPr>
              <w:spacing w:line="240" w:lineRule="auto"/>
              <w:ind w:firstLine="28"/>
              <w:jc w:val="center"/>
              <w:rPr>
                <w:rFonts w:ascii="仿宋" w:hAnsi="仿宋" w:eastAsia="仿宋" w:cs="仿宋"/>
                <w:sz w:val="22"/>
                <w:szCs w:val="28"/>
              </w:rPr>
            </w:pPr>
            <w:r>
              <w:rPr>
                <w:rFonts w:ascii="仿宋" w:hAnsi="仿宋" w:eastAsia="仿宋" w:cs="仿宋"/>
                <w:sz w:val="22"/>
                <w:szCs w:val="28"/>
              </w:rPr>
              <w:t>1</w:t>
            </w:r>
          </w:p>
        </w:tc>
        <w:tc>
          <w:tcPr>
            <w:tcW w:w="1559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报价</w:t>
            </w: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40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%</w:t>
            </w: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（主要评分因素）</w:t>
            </w:r>
          </w:p>
        </w:tc>
        <w:tc>
          <w:tcPr>
            <w:tcW w:w="1073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40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分</w:t>
            </w:r>
          </w:p>
        </w:tc>
        <w:tc>
          <w:tcPr>
            <w:tcW w:w="4950" w:type="dxa"/>
            <w:vAlign w:val="center"/>
          </w:tcPr>
          <w:p>
            <w:pPr>
              <w:spacing w:line="240" w:lineRule="auto"/>
              <w:ind w:firstLine="220" w:firstLineChars="100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满足招标文件要求且响应价格最低的响应报价为基准价，其价格分为满分。其他供应商的价格分统一按照下列公式计算：报价得分=(基准价／报价)×</w:t>
            </w: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40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%×100</w:t>
            </w:r>
          </w:p>
        </w:tc>
        <w:tc>
          <w:tcPr>
            <w:tcW w:w="1165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1165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共同评分因素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426" w:type="dxa"/>
            <w:vAlign w:val="center"/>
          </w:tcPr>
          <w:p>
            <w:pPr>
              <w:spacing w:after="0" w:line="240" w:lineRule="auto"/>
              <w:ind w:firstLine="28"/>
              <w:jc w:val="center"/>
              <w:rPr>
                <w:rFonts w:ascii="仿宋" w:hAnsi="仿宋" w:eastAsia="仿宋" w:cs="仿宋"/>
                <w:sz w:val="22"/>
                <w:szCs w:val="28"/>
              </w:rPr>
            </w:pPr>
            <w:r>
              <w:rPr>
                <w:rFonts w:hint="eastAsia" w:ascii="仿宋" w:hAnsi="仿宋" w:eastAsia="仿宋" w:cs="仿宋"/>
                <w:sz w:val="22"/>
                <w:szCs w:val="28"/>
              </w:rPr>
              <w:t>2</w:t>
            </w:r>
          </w:p>
        </w:tc>
        <w:tc>
          <w:tcPr>
            <w:tcW w:w="1559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  <w:p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技术指标</w:t>
            </w: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（主要评分因素）</w:t>
            </w: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45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%</w:t>
            </w:r>
          </w:p>
        </w:tc>
        <w:tc>
          <w:tcPr>
            <w:tcW w:w="1073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45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分</w:t>
            </w:r>
          </w:p>
        </w:tc>
        <w:tc>
          <w:tcPr>
            <w:tcW w:w="4950" w:type="dxa"/>
            <w:vAlign w:val="center"/>
          </w:tcPr>
          <w:p>
            <w:pPr>
              <w:spacing w:after="0" w:line="240" w:lineRule="auto"/>
              <w:ind w:firstLine="220" w:firstLineChars="100"/>
              <w:rPr>
                <w:rFonts w:hint="eastAsia" w:ascii="宋体" w:hAnsi="宋体" w:eastAsia="宋体" w:cs="宋体"/>
                <w:bCs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Cs/>
                <w:sz w:val="22"/>
                <w:szCs w:val="22"/>
              </w:rPr>
              <w:t>投标人针对招标文件中的技术参数条款的相应得分规则如下：</w:t>
            </w:r>
          </w:p>
          <w:p>
            <w:pPr>
              <w:spacing w:after="0" w:line="240" w:lineRule="auto"/>
              <w:rPr>
                <w:rFonts w:hint="eastAsia" w:ascii="宋体" w:hAnsi="宋体" w:eastAsia="宋体" w:cs="宋体"/>
                <w:bCs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Cs/>
                <w:sz w:val="22"/>
                <w:szCs w:val="22"/>
              </w:rPr>
              <w:t xml:space="preserve">  完全满足指标文件中的技术参数条款要求得</w:t>
            </w:r>
            <w:r>
              <w:rPr>
                <w:rFonts w:hint="eastAsia" w:ascii="宋体" w:hAnsi="宋体" w:cs="宋体"/>
                <w:bCs/>
                <w:sz w:val="22"/>
                <w:szCs w:val="22"/>
                <w:lang w:val="en-US" w:eastAsia="zh-CN"/>
              </w:rPr>
              <w:t>45</w:t>
            </w:r>
            <w:r>
              <w:rPr>
                <w:rFonts w:hint="eastAsia" w:ascii="宋体" w:hAnsi="宋体" w:eastAsia="宋体" w:cs="宋体"/>
                <w:bCs/>
                <w:sz w:val="22"/>
                <w:szCs w:val="22"/>
              </w:rPr>
              <w:t>分，一般技术参数每有一项不满足的扣</w:t>
            </w:r>
            <w:r>
              <w:rPr>
                <w:rFonts w:hint="eastAsia" w:ascii="宋体" w:hAnsi="宋体" w:cs="宋体"/>
                <w:bCs/>
                <w:sz w:val="22"/>
                <w:szCs w:val="22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bCs/>
                <w:sz w:val="22"/>
                <w:szCs w:val="22"/>
              </w:rPr>
              <w:t>分，扣完为止。</w:t>
            </w:r>
          </w:p>
          <w:p>
            <w:pPr>
              <w:spacing w:after="0" w:line="240" w:lineRule="auto"/>
              <w:rPr>
                <w:rFonts w:hint="eastAsia" w:ascii="宋体" w:hAnsi="宋体" w:eastAsia="宋体" w:cs="宋体"/>
                <w:bCs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165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竞选人需提供技术支撑材料，并在技术响应偏离表中注明，否则不予认定</w:t>
            </w:r>
          </w:p>
        </w:tc>
        <w:tc>
          <w:tcPr>
            <w:tcW w:w="1165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技术类评分因素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426" w:type="dxa"/>
            <w:vAlign w:val="center"/>
          </w:tcPr>
          <w:p>
            <w:pPr>
              <w:spacing w:line="240" w:lineRule="auto"/>
              <w:ind w:firstLine="28"/>
              <w:jc w:val="center"/>
              <w:rPr>
                <w:rFonts w:hint="eastAsia" w:ascii="仿宋" w:hAnsi="仿宋" w:eastAsia="仿宋" w:cs="仿宋"/>
                <w:sz w:val="22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8"/>
                <w:lang w:val="en-US" w:eastAsia="zh-CN"/>
              </w:rPr>
              <w:t>3</w:t>
            </w:r>
          </w:p>
        </w:tc>
        <w:tc>
          <w:tcPr>
            <w:tcW w:w="1559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售后服务要求</w:t>
            </w: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10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%</w:t>
            </w:r>
          </w:p>
        </w:tc>
        <w:tc>
          <w:tcPr>
            <w:tcW w:w="1073" w:type="dxa"/>
            <w:vAlign w:val="center"/>
          </w:tcPr>
          <w:p>
            <w:pPr>
              <w:spacing w:line="240" w:lineRule="auto"/>
              <w:ind w:firstLine="220" w:firstLineChars="100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10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分</w:t>
            </w:r>
          </w:p>
        </w:tc>
        <w:tc>
          <w:tcPr>
            <w:tcW w:w="4950" w:type="dxa"/>
            <w:vAlign w:val="center"/>
          </w:tcPr>
          <w:p>
            <w:pPr>
              <w:spacing w:line="240" w:lineRule="auto"/>
              <w:ind w:firstLine="220" w:firstLineChars="100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Cs/>
                <w:sz w:val="22"/>
                <w:szCs w:val="22"/>
                <w:lang w:val="en-US" w:eastAsia="zh-CN"/>
              </w:rPr>
              <w:t>根据竞选人承诺的交货实施方案和响应时间、质量保证范围，售后服务体系等进行综合分析评分：1、有专人负责售后服务。2、承诺任何问题在接到电话后立即响应，并在24小时内处理。3、承诺产品质量问题无条件退货。承诺产品验收前，无条件破损退换。4、按买方要求安排送货。以上项目符合1项得2.5分，最多10分</w:t>
            </w:r>
          </w:p>
        </w:tc>
        <w:tc>
          <w:tcPr>
            <w:tcW w:w="1165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以实际竞选文件为准</w:t>
            </w:r>
          </w:p>
        </w:tc>
        <w:tc>
          <w:tcPr>
            <w:tcW w:w="1165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共同评分因素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426" w:type="dxa"/>
            <w:vAlign w:val="center"/>
          </w:tcPr>
          <w:p>
            <w:pPr>
              <w:spacing w:line="240" w:lineRule="auto"/>
              <w:ind w:firstLine="28"/>
              <w:jc w:val="center"/>
              <w:rPr>
                <w:rFonts w:hint="eastAsia" w:ascii="仿宋" w:hAnsi="仿宋" w:eastAsia="仿宋" w:cs="仿宋"/>
                <w:sz w:val="22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8"/>
                <w:lang w:val="en-US" w:eastAsia="zh-CN"/>
              </w:rPr>
              <w:t>4</w:t>
            </w:r>
          </w:p>
        </w:tc>
        <w:tc>
          <w:tcPr>
            <w:tcW w:w="1559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投标文件的规范性</w:t>
            </w: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%</w:t>
            </w:r>
          </w:p>
        </w:tc>
        <w:tc>
          <w:tcPr>
            <w:tcW w:w="1073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分</w:t>
            </w:r>
          </w:p>
        </w:tc>
        <w:tc>
          <w:tcPr>
            <w:tcW w:w="4950" w:type="dxa"/>
            <w:vAlign w:val="center"/>
          </w:tcPr>
          <w:p>
            <w:pPr>
              <w:spacing w:line="240" w:lineRule="auto"/>
              <w:ind w:firstLine="220" w:firstLineChars="100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投标文件制作规范，没有细微偏差情形的得</w:t>
            </w: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分；有一项细微偏差扣</w:t>
            </w: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1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分，直至该项分值扣完为止。</w:t>
            </w:r>
          </w:p>
        </w:tc>
        <w:tc>
          <w:tcPr>
            <w:tcW w:w="1165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以实际竞选文件为准</w:t>
            </w:r>
          </w:p>
        </w:tc>
        <w:tc>
          <w:tcPr>
            <w:tcW w:w="1165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共同评分因素</w:t>
            </w:r>
          </w:p>
        </w:tc>
      </w:tr>
    </w:tbl>
    <w:p>
      <w:pPr>
        <w:rPr>
          <w:sz w:val="20"/>
          <w:szCs w:val="2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2161"/>
    <w:rsid w:val="000B799D"/>
    <w:rsid w:val="001B43DC"/>
    <w:rsid w:val="001C21D2"/>
    <w:rsid w:val="002D05DD"/>
    <w:rsid w:val="00304F2B"/>
    <w:rsid w:val="00332161"/>
    <w:rsid w:val="003B59E3"/>
    <w:rsid w:val="00533D26"/>
    <w:rsid w:val="005C50C8"/>
    <w:rsid w:val="006C3401"/>
    <w:rsid w:val="006C7DC7"/>
    <w:rsid w:val="007755B2"/>
    <w:rsid w:val="007C3568"/>
    <w:rsid w:val="008803C4"/>
    <w:rsid w:val="009C0424"/>
    <w:rsid w:val="00A41D1F"/>
    <w:rsid w:val="00C5462F"/>
    <w:rsid w:val="00CB508A"/>
    <w:rsid w:val="00D54D03"/>
    <w:rsid w:val="00D778C4"/>
    <w:rsid w:val="00E21AEB"/>
    <w:rsid w:val="00E3301F"/>
    <w:rsid w:val="00F010FF"/>
    <w:rsid w:val="00F50F3E"/>
    <w:rsid w:val="03DF7C26"/>
    <w:rsid w:val="04032FF1"/>
    <w:rsid w:val="0E546A0D"/>
    <w:rsid w:val="0F885889"/>
    <w:rsid w:val="11B70C46"/>
    <w:rsid w:val="19EE1F9E"/>
    <w:rsid w:val="1E5A4105"/>
    <w:rsid w:val="26D8436B"/>
    <w:rsid w:val="304D7693"/>
    <w:rsid w:val="356203A6"/>
    <w:rsid w:val="37A82825"/>
    <w:rsid w:val="3B9A6903"/>
    <w:rsid w:val="40254A46"/>
    <w:rsid w:val="42A4599C"/>
    <w:rsid w:val="44D126AB"/>
    <w:rsid w:val="563A5D0A"/>
    <w:rsid w:val="577E4437"/>
    <w:rsid w:val="70734C3E"/>
    <w:rsid w:val="743A2569"/>
    <w:rsid w:val="757122AF"/>
    <w:rsid w:val="76174930"/>
    <w:rsid w:val="79707F23"/>
    <w:rsid w:val="7DC067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59" w:lineRule="auto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link w:val="9"/>
    <w:qFormat/>
    <w:uiPriority w:val="0"/>
    <w:pPr>
      <w:ind w:firstLine="630"/>
    </w:pPr>
    <w:rPr>
      <w:sz w:val="32"/>
      <w:szCs w:val="20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spacing w:after="0" w:line="240" w:lineRule="auto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after="0" w:line="240" w:lineRule="auto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7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3"/>
    <w:qFormat/>
    <w:uiPriority w:val="99"/>
    <w:rPr>
      <w:sz w:val="18"/>
      <w:szCs w:val="18"/>
    </w:rPr>
  </w:style>
  <w:style w:type="character" w:customStyle="1" w:styleId="9">
    <w:name w:val="正文文本缩进 字符"/>
    <w:basedOn w:val="6"/>
    <w:link w:val="2"/>
    <w:qFormat/>
    <w:uiPriority w:val="0"/>
    <w:rPr>
      <w:rFonts w:ascii="Calibri" w:hAnsi="Calibri" w:eastAsia="宋体" w:cs="Times New Roman"/>
      <w:sz w:val="32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121</Words>
  <Characters>691</Characters>
  <Lines>5</Lines>
  <Paragraphs>1</Paragraphs>
  <TotalTime>3</TotalTime>
  <ScaleCrop>false</ScaleCrop>
  <LinksUpToDate>false</LinksUpToDate>
  <CharactersWithSpaces>811</CharactersWithSpaces>
  <Application>WPS Office_11.1.0.10132_F1E327BC-269C-435d-A152-05C5408002CA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2020-10-22T10:35:00Z</dcterms:created>
  <dc:creator>Zou, Paul</dc:creator>
  <cp:lastModifiedBy>余小黑不二黑</cp:lastModifiedBy>
  <cp:lastPrinted>2020-10-23T07:15:00Z</cp:lastPrinted>
  <dcterms:modified xsi:type="dcterms:W3CDTF">2020-12-11T09:06:18Z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