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047" w:tblpY="2455"/>
        <w:tblW w:w="10242" w:type="dxa"/>
        <w:tblInd w:w="0" w:type="dxa"/>
        <w:tblLayout w:type="fixed"/>
        <w:tblCellMar>
          <w:top w:w="0" w:type="dxa"/>
          <w:left w:w="108" w:type="dxa"/>
          <w:bottom w:w="0" w:type="dxa"/>
          <w:right w:w="108" w:type="dxa"/>
        </w:tblCellMar>
      </w:tblPr>
      <w:tblGrid>
        <w:gridCol w:w="635"/>
        <w:gridCol w:w="1095"/>
        <w:gridCol w:w="570"/>
        <w:gridCol w:w="5392"/>
        <w:gridCol w:w="1275"/>
        <w:gridCol w:w="1275"/>
      </w:tblGrid>
      <w:tr>
        <w:tblPrEx>
          <w:tblCellMar>
            <w:top w:w="0" w:type="dxa"/>
            <w:left w:w="108" w:type="dxa"/>
            <w:bottom w:w="0" w:type="dxa"/>
            <w:right w:w="108" w:type="dxa"/>
          </w:tblCellMar>
        </w:tblPrEx>
        <w:trPr>
          <w:trHeight w:val="725" w:hRule="atLeast"/>
        </w:trPr>
        <w:tc>
          <w:tcPr>
            <w:tcW w:w="63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095" w:type="dxa"/>
            <w:tcBorders>
              <w:top w:val="single" w:color="auto" w:sz="8" w:space="0"/>
              <w:left w:val="nil"/>
              <w:bottom w:val="single" w:color="auto" w:sz="4" w:space="0"/>
              <w:right w:val="single" w:color="auto" w:sz="8" w:space="0"/>
            </w:tcBorders>
            <w:vAlign w:val="center"/>
          </w:tcPr>
          <w:p>
            <w:pPr>
              <w:widowControl/>
              <w:rPr>
                <w:rFonts w:ascii="宋体" w:hAnsi="宋体" w:cs="宋体"/>
                <w:kern w:val="0"/>
                <w:szCs w:val="21"/>
              </w:rPr>
            </w:pPr>
            <w:r>
              <w:rPr>
                <w:rFonts w:hint="eastAsia" w:ascii="宋体" w:hAnsi="宋体" w:cs="宋体"/>
                <w:kern w:val="0"/>
                <w:szCs w:val="21"/>
              </w:rPr>
              <w:t>评分因素</w:t>
            </w:r>
          </w:p>
          <w:p>
            <w:pPr>
              <w:rPr>
                <w:rFonts w:ascii="宋体" w:hAnsi="宋体" w:cs="宋体"/>
                <w:kern w:val="0"/>
                <w:szCs w:val="21"/>
              </w:rPr>
            </w:pPr>
            <w:r>
              <w:rPr>
                <w:rFonts w:hint="eastAsia" w:ascii="宋体" w:hAnsi="宋体" w:cs="宋体"/>
                <w:kern w:val="0"/>
                <w:szCs w:val="21"/>
              </w:rPr>
              <w:t>及权重</w:t>
            </w:r>
          </w:p>
        </w:tc>
        <w:tc>
          <w:tcPr>
            <w:tcW w:w="570" w:type="dxa"/>
            <w:tcBorders>
              <w:top w:val="single" w:color="auto" w:sz="8" w:space="0"/>
              <w:left w:val="single" w:color="auto" w:sz="8" w:space="0"/>
              <w:bottom w:val="single" w:color="auto" w:sz="4"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分　值</w:t>
            </w:r>
          </w:p>
        </w:tc>
        <w:tc>
          <w:tcPr>
            <w:tcW w:w="5392"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评分标准</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说明</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备注</w:t>
            </w:r>
          </w:p>
        </w:tc>
      </w:tr>
      <w:tr>
        <w:tblPrEx>
          <w:tblCellMar>
            <w:top w:w="0" w:type="dxa"/>
            <w:left w:w="108" w:type="dxa"/>
            <w:bottom w:w="0" w:type="dxa"/>
            <w:right w:w="108" w:type="dxa"/>
          </w:tblCellMar>
        </w:tblPrEx>
        <w:trPr>
          <w:trHeight w:val="3084" w:hRule="atLeast"/>
        </w:trPr>
        <w:tc>
          <w:tcPr>
            <w:tcW w:w="635" w:type="dxa"/>
            <w:tcBorders>
              <w:top w:val="nil"/>
              <w:left w:val="single" w:color="auto" w:sz="8" w:space="0"/>
              <w:bottom w:val="single" w:color="000000" w:sz="8" w:space="0"/>
              <w:right w:val="single" w:color="auto" w:sz="8" w:space="0"/>
            </w:tcBorders>
            <w:vAlign w:val="center"/>
          </w:tcPr>
          <w:p>
            <w:pPr>
              <w:pStyle w:val="4"/>
              <w:jc w:val="center"/>
              <w:rPr>
                <w:rFonts w:ascii="宋体" w:hAnsi="宋体" w:cs="宋体"/>
                <w:kern w:val="0"/>
                <w:szCs w:val="21"/>
              </w:rPr>
            </w:pPr>
            <w:r>
              <w:rPr>
                <w:rFonts w:hint="eastAsia" w:ascii="宋体" w:hAnsi="宋体" w:cs="宋体"/>
                <w:kern w:val="0"/>
                <w:szCs w:val="21"/>
              </w:rPr>
              <w:t>1</w:t>
            </w:r>
          </w:p>
        </w:tc>
        <w:tc>
          <w:tcPr>
            <w:tcW w:w="1095" w:type="dxa"/>
            <w:tcBorders>
              <w:top w:val="single" w:color="auto" w:sz="4" w:space="0"/>
              <w:left w:val="single" w:color="auto" w:sz="8" w:space="0"/>
              <w:bottom w:val="single" w:color="000000" w:sz="8" w:space="0"/>
              <w:right w:val="single" w:color="auto" w:sz="8" w:space="0"/>
            </w:tcBorders>
            <w:vAlign w:val="center"/>
          </w:tcPr>
          <w:p>
            <w:pPr>
              <w:pStyle w:val="4"/>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报价（主要评分因素）</w:t>
            </w:r>
            <w:r>
              <w:rPr>
                <w:rFonts w:hint="eastAsia" w:ascii="宋体" w:hAnsi="宋体" w:cs="宋体"/>
                <w:kern w:val="0"/>
                <w:sz w:val="21"/>
                <w:szCs w:val="21"/>
                <w:lang w:val="en-US" w:eastAsia="zh-CN" w:bidi="ar-SA"/>
              </w:rPr>
              <w:t>40</w:t>
            </w:r>
            <w:r>
              <w:rPr>
                <w:rFonts w:hint="eastAsia" w:ascii="宋体" w:hAnsi="宋体" w:eastAsia="宋体" w:cs="宋体"/>
                <w:kern w:val="0"/>
                <w:sz w:val="21"/>
                <w:szCs w:val="21"/>
                <w:lang w:val="en-US" w:eastAsia="zh-CN" w:bidi="ar-SA"/>
              </w:rPr>
              <w:t>%</w:t>
            </w:r>
          </w:p>
        </w:tc>
        <w:tc>
          <w:tcPr>
            <w:tcW w:w="570" w:type="dxa"/>
            <w:tcBorders>
              <w:top w:val="single" w:color="auto" w:sz="4" w:space="0"/>
              <w:left w:val="single" w:color="auto" w:sz="8" w:space="0"/>
              <w:bottom w:val="single" w:color="auto" w:sz="4" w:space="0"/>
              <w:right w:val="single" w:color="auto" w:sz="8" w:space="0"/>
            </w:tcBorders>
            <w:vAlign w:val="center"/>
          </w:tcPr>
          <w:p>
            <w:pPr>
              <w:pStyle w:val="4"/>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40</w:t>
            </w:r>
          </w:p>
        </w:tc>
        <w:tc>
          <w:tcPr>
            <w:tcW w:w="5392" w:type="dxa"/>
            <w:tcBorders>
              <w:top w:val="nil"/>
              <w:left w:val="nil"/>
              <w:bottom w:val="single" w:color="auto" w:sz="4"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统一采用低价优先法计算，即该品种满足竞选文件要求且竞选价格最低的竞选报价为评标基准价，其价格分为</w:t>
            </w:r>
            <w:r>
              <w:rPr>
                <w:rFonts w:hint="eastAsia" w:ascii="宋体" w:hAnsi="宋体" w:cs="宋体"/>
                <w:kern w:val="0"/>
                <w:szCs w:val="21"/>
                <w:lang w:val="en-US" w:eastAsia="zh-CN"/>
              </w:rPr>
              <w:t>40</w:t>
            </w:r>
            <w:r>
              <w:rPr>
                <w:rFonts w:hint="eastAsia" w:ascii="宋体" w:hAnsi="宋体" w:cs="宋体"/>
                <w:kern w:val="0"/>
                <w:szCs w:val="21"/>
              </w:rPr>
              <w:t>分。其他投标单位的价格分统一按照下列公式计算：竞选报价得分=(评标基准价／投标报价)×</w:t>
            </w:r>
            <w:r>
              <w:rPr>
                <w:rFonts w:hint="eastAsia" w:ascii="宋体" w:hAnsi="宋体" w:cs="宋体"/>
                <w:kern w:val="0"/>
                <w:szCs w:val="21"/>
                <w:lang w:val="en-US" w:eastAsia="zh-CN"/>
              </w:rPr>
              <w:t>40</w:t>
            </w:r>
            <w:r>
              <w:rPr>
                <w:rFonts w:hint="eastAsia" w:ascii="宋体" w:hAnsi="宋体" w:cs="宋体"/>
                <w:kern w:val="0"/>
                <w:szCs w:val="21"/>
              </w:rPr>
              <w:t>%×100。</w:t>
            </w: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lang w:eastAsia="zh-CN"/>
              </w:rPr>
            </w:pP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rPr>
            </w:pPr>
            <w:r>
              <w:rPr>
                <w:rFonts w:hint="eastAsia" w:ascii="宋体" w:hAnsi="宋体" w:cs="宋体"/>
                <w:kern w:val="0"/>
                <w:szCs w:val="21"/>
                <w:lang w:eastAsia="zh-CN"/>
              </w:rPr>
              <w:t>共同评分因</w:t>
            </w:r>
            <w:bookmarkStart w:id="0" w:name="_GoBack"/>
            <w:bookmarkEnd w:id="0"/>
            <w:r>
              <w:rPr>
                <w:rFonts w:hint="eastAsia" w:ascii="宋体" w:hAnsi="宋体" w:cs="宋体"/>
                <w:kern w:val="0"/>
                <w:szCs w:val="21"/>
                <w:lang w:eastAsia="zh-CN"/>
              </w:rPr>
              <w:t>素</w:t>
            </w:r>
          </w:p>
        </w:tc>
      </w:tr>
      <w:tr>
        <w:tblPrEx>
          <w:tblCellMar>
            <w:top w:w="0" w:type="dxa"/>
            <w:left w:w="108" w:type="dxa"/>
            <w:bottom w:w="0" w:type="dxa"/>
            <w:right w:w="108" w:type="dxa"/>
          </w:tblCellMar>
        </w:tblPrEx>
        <w:trPr>
          <w:trHeight w:val="1705" w:hRule="atLeast"/>
        </w:trPr>
        <w:tc>
          <w:tcPr>
            <w:tcW w:w="635" w:type="dxa"/>
            <w:tcBorders>
              <w:top w:val="nil"/>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095" w:type="dxa"/>
            <w:tcBorders>
              <w:top w:val="nil"/>
              <w:left w:val="nil"/>
              <w:bottom w:val="single" w:color="auto" w:sz="4" w:space="0"/>
              <w:right w:val="single" w:color="auto" w:sz="8" w:space="0"/>
            </w:tcBorders>
            <w:vAlign w:val="center"/>
          </w:tcPr>
          <w:p>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技术指标（主要评分因素）</w:t>
            </w:r>
            <w:r>
              <w:rPr>
                <w:rFonts w:hint="eastAsia" w:ascii="宋体" w:hAnsi="宋体" w:cs="宋体"/>
                <w:kern w:val="0"/>
                <w:sz w:val="21"/>
                <w:szCs w:val="21"/>
                <w:lang w:val="en-US" w:eastAsia="zh-CN" w:bidi="ar-SA"/>
              </w:rPr>
              <w:t>49</w:t>
            </w:r>
            <w:r>
              <w:rPr>
                <w:rFonts w:hint="eastAsia" w:ascii="宋体" w:hAnsi="宋体" w:eastAsia="宋体" w:cs="宋体"/>
                <w:kern w:val="0"/>
                <w:sz w:val="21"/>
                <w:szCs w:val="21"/>
                <w:lang w:val="en-US" w:eastAsia="zh-CN" w:bidi="ar-SA"/>
              </w:rPr>
              <w:t>%</w:t>
            </w:r>
          </w:p>
        </w:tc>
        <w:tc>
          <w:tcPr>
            <w:tcW w:w="570" w:type="dxa"/>
            <w:tcBorders>
              <w:top w:val="single" w:color="auto" w:sz="4" w:space="0"/>
              <w:left w:val="single" w:color="auto" w:sz="8" w:space="0"/>
              <w:bottom w:val="single" w:color="auto" w:sz="4" w:space="0"/>
              <w:right w:val="single" w:color="auto" w:sz="8" w:space="0"/>
            </w:tcBorders>
            <w:vAlign w:val="center"/>
          </w:tcPr>
          <w:p>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49</w:t>
            </w:r>
          </w:p>
        </w:tc>
        <w:tc>
          <w:tcPr>
            <w:tcW w:w="5392" w:type="dxa"/>
            <w:tcBorders>
              <w:top w:val="single" w:color="auto" w:sz="4" w:space="0"/>
              <w:left w:val="single" w:color="auto" w:sz="8" w:space="0"/>
              <w:bottom w:val="single" w:color="000000" w:sz="8" w:space="0"/>
              <w:right w:val="single" w:color="auto" w:sz="8" w:space="0"/>
            </w:tcBorders>
            <w:vAlign w:val="center"/>
          </w:tcPr>
          <w:p>
            <w:pPr>
              <w:adjustRightInd w:val="0"/>
              <w:spacing w:line="240" w:lineRule="atLeas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技术指标完全符合竞选文件要求没有负偏离得</w:t>
            </w:r>
            <w:r>
              <w:rPr>
                <w:rFonts w:hint="eastAsia" w:ascii="宋体" w:hAnsi="宋体" w:cs="宋体"/>
                <w:kern w:val="0"/>
                <w:sz w:val="21"/>
                <w:szCs w:val="21"/>
                <w:lang w:val="en-US" w:eastAsia="zh-CN" w:bidi="ar-SA"/>
              </w:rPr>
              <w:t>49</w:t>
            </w:r>
            <w:r>
              <w:rPr>
                <w:rFonts w:hint="eastAsia" w:ascii="宋体" w:hAnsi="宋体" w:eastAsia="宋体" w:cs="宋体"/>
                <w:kern w:val="0"/>
                <w:sz w:val="21"/>
                <w:szCs w:val="21"/>
                <w:lang w:val="en-US" w:eastAsia="zh-CN" w:bidi="ar-SA"/>
              </w:rPr>
              <w:t>分，技术指标不满足竞选文件要求负偏离一项扣</w:t>
            </w:r>
            <w:r>
              <w:rPr>
                <w:rFonts w:hint="eastAsia" w:ascii="宋体" w:hAnsi="宋体" w:cs="宋体"/>
                <w:kern w:val="0"/>
                <w:sz w:val="21"/>
                <w:szCs w:val="21"/>
                <w:lang w:val="en-US" w:eastAsia="zh-CN" w:bidi="ar-SA"/>
              </w:rPr>
              <w:t>3.5</w:t>
            </w:r>
            <w:r>
              <w:rPr>
                <w:rFonts w:hint="eastAsia" w:ascii="宋体" w:hAnsi="宋体" w:eastAsia="宋体" w:cs="宋体"/>
                <w:kern w:val="0"/>
                <w:sz w:val="21"/>
                <w:szCs w:val="21"/>
                <w:lang w:val="en-US" w:eastAsia="zh-CN" w:bidi="ar-SA"/>
              </w:rPr>
              <w:t>分，扣完为止。</w:t>
            </w:r>
          </w:p>
          <w:p>
            <w:pPr>
              <w:pStyle w:val="2"/>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default" w:ascii="Times New Roman" w:hAnsi="Times New Roman" w:eastAsia="宋体" w:cs="Times New Roman"/>
                <w:i w:val="0"/>
                <w:caps w:val="0"/>
                <w:color w:val="000000"/>
                <w:spacing w:val="0"/>
                <w:sz w:val="21"/>
                <w:szCs w:val="21"/>
                <w:shd w:val="clear" w:fill="FFFFFF"/>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技术类评分因素</w:t>
            </w:r>
          </w:p>
        </w:tc>
      </w:tr>
      <w:tr>
        <w:tblPrEx>
          <w:tblCellMar>
            <w:top w:w="0" w:type="dxa"/>
            <w:left w:w="108" w:type="dxa"/>
            <w:bottom w:w="0" w:type="dxa"/>
            <w:right w:w="108" w:type="dxa"/>
          </w:tblCellMar>
        </w:tblPrEx>
        <w:trPr>
          <w:trHeight w:val="988" w:hRule="atLeast"/>
        </w:trPr>
        <w:tc>
          <w:tcPr>
            <w:tcW w:w="635" w:type="dxa"/>
            <w:tcBorders>
              <w:top w:val="nil"/>
              <w:left w:val="single" w:color="auto" w:sz="8" w:space="0"/>
              <w:bottom w:val="single" w:color="auto" w:sz="4" w:space="0"/>
              <w:right w:val="single" w:color="auto" w:sz="8" w:space="0"/>
            </w:tcBorders>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1095" w:type="dxa"/>
            <w:tcBorders>
              <w:top w:val="single" w:color="auto" w:sz="4" w:space="0"/>
              <w:left w:val="nil"/>
              <w:bottom w:val="single" w:color="auto" w:sz="4" w:space="0"/>
              <w:right w:val="single" w:color="auto" w:sz="8" w:space="0"/>
            </w:tcBorders>
            <w:vAlign w:val="center"/>
          </w:tcPr>
          <w:p>
            <w:pPr>
              <w:widowControl w:val="0"/>
              <w:jc w:val="center"/>
              <w:rPr>
                <w:rFonts w:hint="eastAsia" w:ascii="宋体" w:hAnsi="宋体" w:eastAsia="宋体" w:cs="宋体"/>
                <w:kern w:val="2"/>
                <w:sz w:val="21"/>
                <w:szCs w:val="24"/>
                <w:lang w:val="en-US" w:eastAsia="zh-CN" w:bidi="ar-SA"/>
              </w:rPr>
            </w:pPr>
            <w:r>
              <w:rPr>
                <w:rFonts w:hint="eastAsia" w:ascii="宋体" w:hAnsi="宋体" w:eastAsia="宋体" w:cs="宋体"/>
                <w:lang w:eastAsia="zh-CN"/>
              </w:rPr>
              <w:t>售后服务</w:t>
            </w:r>
            <w:r>
              <w:rPr>
                <w:rFonts w:hint="eastAsia" w:ascii="宋体" w:hAnsi="宋体" w:cs="宋体"/>
                <w:lang w:val="en-US" w:eastAsia="zh-CN"/>
              </w:rPr>
              <w:t>10</w:t>
            </w:r>
            <w:r>
              <w:rPr>
                <w:rFonts w:hint="eastAsia" w:ascii="宋体" w:hAnsi="宋体" w:eastAsia="宋体" w:cs="宋体"/>
                <w:lang w:eastAsia="zh-CN"/>
              </w:rPr>
              <w:t>%</w:t>
            </w:r>
          </w:p>
        </w:tc>
        <w:tc>
          <w:tcPr>
            <w:tcW w:w="570" w:type="dxa"/>
            <w:tcBorders>
              <w:top w:val="single" w:color="auto" w:sz="4" w:space="0"/>
              <w:left w:val="nil"/>
              <w:bottom w:val="single" w:color="auto" w:sz="4" w:space="0"/>
              <w:right w:val="single" w:color="auto" w:sz="8" w:space="0"/>
            </w:tcBorders>
            <w:vAlign w:val="center"/>
          </w:tcPr>
          <w:p>
            <w:pPr>
              <w:widowControl w:val="0"/>
              <w:jc w:val="center"/>
              <w:rPr>
                <w:rFonts w:hint="default" w:ascii="宋体" w:hAnsi="宋体" w:eastAsia="宋体" w:cs="宋体"/>
                <w:kern w:val="2"/>
                <w:sz w:val="21"/>
                <w:szCs w:val="24"/>
                <w:lang w:val="en-US" w:eastAsia="zh-CN" w:bidi="ar-SA"/>
              </w:rPr>
            </w:pPr>
            <w:r>
              <w:rPr>
                <w:rFonts w:hint="eastAsia" w:ascii="宋体" w:hAnsi="宋体" w:cs="宋体"/>
                <w:lang w:val="en-US" w:eastAsia="zh-CN"/>
              </w:rPr>
              <w:t>10</w:t>
            </w:r>
          </w:p>
        </w:tc>
        <w:tc>
          <w:tcPr>
            <w:tcW w:w="5392" w:type="dxa"/>
            <w:tcBorders>
              <w:top w:val="nil"/>
              <w:left w:val="nil"/>
              <w:bottom w:val="single" w:color="auto" w:sz="4" w:space="0"/>
              <w:right w:val="single" w:color="auto" w:sz="8" w:space="0"/>
            </w:tcBorders>
            <w:vAlign w:val="center"/>
          </w:tcPr>
          <w:p>
            <w:pPr>
              <w:tabs>
                <w:tab w:val="left" w:pos="540"/>
              </w:tabs>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根据竞选人承诺的交货实施方案和响应时间、质量保证范围，售后服务体系等进行综合分析评分：1、有专人负责售后服务。2、承诺任何问题在接到电话后立即响应，并在24小时内处理。3、承诺产品质量问题无条件退货。承诺产品验收前，无条件破损退换。4、按买方要求安排送货。以上项目符合1项得</w:t>
            </w:r>
            <w:r>
              <w:rPr>
                <w:rFonts w:hint="eastAsia" w:ascii="宋体" w:hAnsi="宋体" w:cs="宋体"/>
                <w:kern w:val="0"/>
                <w:sz w:val="21"/>
                <w:szCs w:val="21"/>
                <w:lang w:val="en-US" w:eastAsia="zh-CN" w:bidi="ar-SA"/>
              </w:rPr>
              <w:t>2.5</w:t>
            </w:r>
            <w:r>
              <w:rPr>
                <w:rFonts w:hint="eastAsia" w:ascii="宋体" w:hAnsi="宋体" w:eastAsia="宋体" w:cs="宋体"/>
                <w:kern w:val="0"/>
                <w:sz w:val="21"/>
                <w:szCs w:val="21"/>
                <w:lang w:val="en-US" w:eastAsia="zh-CN" w:bidi="ar-SA"/>
              </w:rPr>
              <w:t>分，最多</w:t>
            </w:r>
            <w:r>
              <w:rPr>
                <w:rFonts w:hint="eastAsia" w:ascii="宋体" w:hAnsi="宋体" w:cs="宋体"/>
                <w:kern w:val="0"/>
                <w:sz w:val="21"/>
                <w:szCs w:val="21"/>
                <w:lang w:val="en-US" w:eastAsia="zh-CN" w:bidi="ar-SA"/>
              </w:rPr>
              <w:t>10</w:t>
            </w:r>
            <w:r>
              <w:rPr>
                <w:rFonts w:hint="eastAsia" w:ascii="宋体" w:hAnsi="宋体" w:eastAsia="宋体" w:cs="宋体"/>
                <w:kern w:val="0"/>
                <w:sz w:val="21"/>
                <w:szCs w:val="21"/>
                <w:lang w:val="en-US" w:eastAsia="zh-CN" w:bidi="ar-SA"/>
              </w:rPr>
              <w:t>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r>
        <w:tblPrEx>
          <w:tblCellMar>
            <w:top w:w="0" w:type="dxa"/>
            <w:left w:w="108" w:type="dxa"/>
            <w:bottom w:w="0" w:type="dxa"/>
            <w:right w:w="108" w:type="dxa"/>
          </w:tblCellMar>
        </w:tblPrEx>
        <w:trPr>
          <w:trHeight w:val="988" w:hRule="atLeast"/>
        </w:trPr>
        <w:tc>
          <w:tcPr>
            <w:tcW w:w="635" w:type="dxa"/>
            <w:tcBorders>
              <w:top w:val="single" w:color="auto" w:sz="4" w:space="0"/>
              <w:left w:val="single" w:color="auto" w:sz="4" w:space="0"/>
              <w:bottom w:val="single" w:color="auto" w:sz="4" w:space="0"/>
              <w:right w:val="single" w:color="auto" w:sz="4" w:space="0"/>
            </w:tcBorders>
            <w:vAlign w:val="center"/>
          </w:tcPr>
          <w:p>
            <w:pPr>
              <w:ind w:firstLine="210" w:firstLineChars="100"/>
              <w:jc w:val="left"/>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p>
        </w:tc>
        <w:tc>
          <w:tcPr>
            <w:tcW w:w="109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cs="宋体"/>
                <w:kern w:val="0"/>
                <w:szCs w:val="21"/>
              </w:rPr>
              <w:t>响应文件的规范性</w:t>
            </w:r>
            <w:r>
              <w:rPr>
                <w:rFonts w:hint="eastAsia" w:ascii="宋体" w:hAnsi="宋体" w:cs="宋体"/>
                <w:kern w:val="0"/>
                <w:szCs w:val="21"/>
                <w:lang w:val="en-US" w:eastAsia="zh-CN"/>
              </w:rPr>
              <w:t>1</w:t>
            </w:r>
            <w:r>
              <w:rPr>
                <w:rFonts w:hint="eastAsia" w:ascii="宋体" w:hAnsi="宋体" w:cs="宋体"/>
                <w:kern w:val="0"/>
                <w:szCs w:val="21"/>
              </w:rPr>
              <w:t>%</w:t>
            </w:r>
          </w:p>
        </w:tc>
        <w:tc>
          <w:tcPr>
            <w:tcW w:w="57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1</w:t>
            </w:r>
          </w:p>
        </w:tc>
        <w:tc>
          <w:tcPr>
            <w:tcW w:w="5392"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响应文件制作规范，没有细微偏差情形的得</w:t>
            </w:r>
            <w:r>
              <w:rPr>
                <w:rFonts w:hint="eastAsia" w:ascii="宋体" w:hAnsi="宋体" w:cs="宋体"/>
                <w:kern w:val="0"/>
                <w:sz w:val="21"/>
                <w:szCs w:val="21"/>
                <w:lang w:val="en-US" w:eastAsia="zh-CN" w:bidi="ar-SA"/>
              </w:rPr>
              <w:t>1</w:t>
            </w:r>
            <w:r>
              <w:rPr>
                <w:rFonts w:hint="eastAsia" w:ascii="宋体" w:hAnsi="宋体" w:eastAsia="宋体" w:cs="宋体"/>
                <w:kern w:val="0"/>
                <w:sz w:val="21"/>
                <w:szCs w:val="21"/>
                <w:lang w:val="en-US" w:eastAsia="zh-CN" w:bidi="ar-SA"/>
              </w:rPr>
              <w:t>分；有一项细微偏差扣</w:t>
            </w:r>
            <w:r>
              <w:rPr>
                <w:rFonts w:hint="eastAsia" w:ascii="宋体" w:hAnsi="宋体" w:cs="宋体"/>
                <w:kern w:val="0"/>
                <w:sz w:val="21"/>
                <w:szCs w:val="21"/>
                <w:lang w:val="en-US" w:eastAsia="zh-CN" w:bidi="ar-SA"/>
              </w:rPr>
              <w:t>0.5</w:t>
            </w:r>
            <w:r>
              <w:rPr>
                <w:rFonts w:hint="eastAsia" w:ascii="宋体" w:hAnsi="宋体" w:eastAsia="宋体" w:cs="宋体"/>
                <w:kern w:val="0"/>
                <w:sz w:val="21"/>
                <w:szCs w:val="21"/>
                <w:lang w:val="en-US" w:eastAsia="zh-CN" w:bidi="ar-SA"/>
              </w:rPr>
              <w:t xml:space="preserve"> 分，直至该项分值扣完为止。</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bl>
    <w:p>
      <w:pPr>
        <w:pStyle w:val="2"/>
        <w:jc w:val="center"/>
        <w:rPr>
          <w:rFonts w:hint="eastAsia" w:eastAsia="宋体"/>
          <w:b/>
          <w:sz w:val="36"/>
          <w:szCs w:val="36"/>
          <w:lang w:val="en-US" w:eastAsia="zh-CN"/>
        </w:rPr>
      </w:pPr>
      <w:r>
        <w:rPr>
          <w:rFonts w:hint="eastAsia"/>
          <w:b/>
          <w:sz w:val="36"/>
          <w:szCs w:val="36"/>
          <w:lang w:eastAsia="zh-CN"/>
        </w:rPr>
        <w:t>外周神经刺激器</w:t>
      </w:r>
      <w:r>
        <w:rPr>
          <w:rFonts w:hint="eastAsia"/>
          <w:b/>
          <w:sz w:val="36"/>
          <w:szCs w:val="36"/>
        </w:rPr>
        <w:t>评分标</w:t>
      </w:r>
      <w:r>
        <w:rPr>
          <w:b/>
          <w:sz w:val="36"/>
          <w:szCs w:val="36"/>
        </w:rPr>
        <w:t>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54"/>
    <w:rsid w:val="000A762D"/>
    <w:rsid w:val="000D7FF5"/>
    <w:rsid w:val="002867F5"/>
    <w:rsid w:val="002C0085"/>
    <w:rsid w:val="00323449"/>
    <w:rsid w:val="003633A7"/>
    <w:rsid w:val="003E468E"/>
    <w:rsid w:val="003F3C2F"/>
    <w:rsid w:val="004B06AB"/>
    <w:rsid w:val="0050328A"/>
    <w:rsid w:val="00582AFE"/>
    <w:rsid w:val="005853D6"/>
    <w:rsid w:val="005D3783"/>
    <w:rsid w:val="007B0351"/>
    <w:rsid w:val="00890F54"/>
    <w:rsid w:val="00CA18BC"/>
    <w:rsid w:val="00D0556A"/>
    <w:rsid w:val="00D347E7"/>
    <w:rsid w:val="00DB4ADB"/>
    <w:rsid w:val="00E34282"/>
    <w:rsid w:val="00E93CF4"/>
    <w:rsid w:val="00E96486"/>
    <w:rsid w:val="02922AD0"/>
    <w:rsid w:val="031E6EB2"/>
    <w:rsid w:val="04E16678"/>
    <w:rsid w:val="0A0656E1"/>
    <w:rsid w:val="107D0BC1"/>
    <w:rsid w:val="122E0869"/>
    <w:rsid w:val="17761798"/>
    <w:rsid w:val="25A54218"/>
    <w:rsid w:val="263D1564"/>
    <w:rsid w:val="297F3D14"/>
    <w:rsid w:val="29FD4C14"/>
    <w:rsid w:val="2B253E56"/>
    <w:rsid w:val="41966202"/>
    <w:rsid w:val="41C6092D"/>
    <w:rsid w:val="49144016"/>
    <w:rsid w:val="4B22571F"/>
    <w:rsid w:val="4DDF21A3"/>
    <w:rsid w:val="59D3628A"/>
    <w:rsid w:val="5FA57068"/>
    <w:rsid w:val="61EC17D1"/>
    <w:rsid w:val="63DC1478"/>
    <w:rsid w:val="79223063"/>
    <w:rsid w:val="7C17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semiHidden/>
    <w:unhideWhenUsed/>
    <w:qFormat/>
    <w:uiPriority w:val="99"/>
    <w:pPr>
      <w:spacing w:after="120"/>
    </w:pPr>
  </w:style>
  <w:style w:type="paragraph" w:styleId="3">
    <w:name w:val="Body Text First Indent"/>
    <w:basedOn w:val="2"/>
    <w:qFormat/>
    <w:uiPriority w:val="0"/>
    <w:pPr>
      <w:ind w:firstLine="420" w:firstLineChars="100"/>
    </w:pPr>
  </w:style>
  <w:style w:type="paragraph" w:styleId="4">
    <w:name w:val="annotation text"/>
    <w:basedOn w:val="1"/>
    <w:link w:val="11"/>
    <w:qFormat/>
    <w:uiPriority w:val="99"/>
    <w:pPr>
      <w:jc w:val="left"/>
    </w:pPr>
    <w:rPr>
      <w:rFonts w:asciiTheme="minorHAnsi" w:hAnsiTheme="minorHAnsi" w:cstheme="minorBidi"/>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批注文字 Char"/>
    <w:link w:val="4"/>
    <w:qFormat/>
    <w:uiPriority w:val="99"/>
    <w:rPr>
      <w:rFonts w:eastAsia="宋体"/>
      <w:szCs w:val="24"/>
    </w:rPr>
  </w:style>
  <w:style w:type="character" w:customStyle="1" w:styleId="12">
    <w:name w:val="批注文字 Char1"/>
    <w:basedOn w:val="10"/>
    <w:semiHidden/>
    <w:qFormat/>
    <w:uiPriority w:val="99"/>
    <w:rPr>
      <w:rFonts w:ascii="Times New Roman" w:hAnsi="Times New Roman" w:eastAsia="宋体" w:cs="Times New Roman"/>
      <w:szCs w:val="24"/>
    </w:rPr>
  </w:style>
  <w:style w:type="character" w:customStyle="1" w:styleId="13">
    <w:name w:val="正文文本 Char"/>
    <w:basedOn w:val="10"/>
    <w:link w:val="2"/>
    <w:semiHidden/>
    <w:qFormat/>
    <w:uiPriority w:val="99"/>
    <w:rPr>
      <w:rFonts w:ascii="Times New Roman" w:hAnsi="Times New Roman" w:eastAsia="宋体" w:cs="Times New Roman"/>
      <w:szCs w:val="24"/>
    </w:rPr>
  </w:style>
  <w:style w:type="character" w:customStyle="1" w:styleId="14">
    <w:name w:val="页眉 Char"/>
    <w:basedOn w:val="10"/>
    <w:link w:val="7"/>
    <w:qFormat/>
    <w:uiPriority w:val="99"/>
    <w:rPr>
      <w:rFonts w:ascii="Times New Roman" w:hAnsi="Times New Roman" w:eastAsia="宋体" w:cs="Times New Roman"/>
      <w:sz w:val="18"/>
      <w:szCs w:val="18"/>
    </w:rPr>
  </w:style>
  <w:style w:type="character" w:customStyle="1" w:styleId="15">
    <w:name w:val="页脚 Char"/>
    <w:basedOn w:val="10"/>
    <w:link w:val="6"/>
    <w:qFormat/>
    <w:uiPriority w:val="99"/>
    <w:rPr>
      <w:rFonts w:ascii="Times New Roman" w:hAnsi="Times New Roman" w:eastAsia="宋体" w:cs="Times New Roman"/>
      <w:sz w:val="18"/>
      <w:szCs w:val="18"/>
    </w:rPr>
  </w:style>
  <w:style w:type="character" w:customStyle="1" w:styleId="16">
    <w:name w:val="批注框文本 Char"/>
    <w:basedOn w:val="10"/>
    <w:link w:val="5"/>
    <w:semiHidden/>
    <w:qFormat/>
    <w:uiPriority w:val="99"/>
    <w:rPr>
      <w:rFonts w:ascii="Times New Roman" w:hAnsi="Times New Roman" w:eastAsia="宋体" w:cs="Times New Roman"/>
      <w:sz w:val="18"/>
      <w:szCs w:val="18"/>
    </w:rPr>
  </w:style>
  <w:style w:type="paragraph" w:customStyle="1" w:styleId="1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509</Characters>
  <Lines>4</Lines>
  <Paragraphs>1</Paragraphs>
  <TotalTime>6</TotalTime>
  <ScaleCrop>false</ScaleCrop>
  <LinksUpToDate>false</LinksUpToDate>
  <CharactersWithSpaces>597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2020-05-27T09:05:00Z</dcterms:created>
  <dc:creator>Administrator</dc:creator>
  <cp:lastModifiedBy>蔻蔻</cp:lastModifiedBy>
  <cp:lastPrinted>2020-10-25T08:54:00Z</cp:lastPrinted>
  <dcterms:modified xsi:type="dcterms:W3CDTF">2020-12-25T01:26:08Z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