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zh-CN"/>
        </w:rPr>
        <w:t>动态心电图动态血压二合一记录仪、生物显微镜及其采集系统、经皮黄疸仪项目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  <w:lang w:val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2.采购项目名称：动态心电图动态血压二合一记录仪、生物显微镜及其采集系统、经皮黄疸仪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3.采购标段：本次院内竞选共三个项目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eastAsia="zh-CN" w:bidi="ar"/>
        </w:rPr>
        <w:t>（一）动态心电图动态血压二合一记录仪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" w:hAnsi="仿宋" w:eastAsia="仿宋" w:cs="仿宋"/>
          <w:b/>
          <w:bCs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eastAsia="zh-CN" w:bidi="ar"/>
        </w:rPr>
        <w:t>数量：</w:t>
      </w: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en-US" w:eastAsia="zh-CN" w:bidi="ar"/>
        </w:rPr>
        <w:t>3台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" w:hAnsi="仿宋" w:eastAsia="仿宋" w:cs="仿宋"/>
          <w:b/>
          <w:bCs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zh-CN" w:eastAsia="zh-CN" w:bidi="ar"/>
        </w:rPr>
        <w:t>最高限价：</w:t>
      </w: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en-US" w:eastAsia="zh-CN" w:bidi="ar"/>
        </w:rPr>
        <w:t>4.5万元/台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zh-CN" w:eastAsia="zh-CN" w:bidi="ar"/>
        </w:rPr>
        <w:t>技术要求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彩色液晶显示，可同时显示并任意切换3导心电波形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可同时记录心电图与血压数据，也可单独测量心电图或血压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3、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记录仪有心电血压联动功能，能自动识别心率变化及ST-T变化，超过设定的范围，会自动增加测量血压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4、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在记录仪中可预置病人信息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5、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检测通道：12 导联心电图 + 全信息血压信号 + 2通道独立起搏检测信号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6、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记录时间：≥24小时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7、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电极数量：10电极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8、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采样率：≥10000  Hz/通道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9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9、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ADC分辨率：12位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10、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共模抑制比：≥80 dB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11、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存储方式及容量：≥4G的SD 存储卡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12、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血压示值范围：0 ～ 300 mmHg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13、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测量范围：收缩压：50 ～ 255 mmHg      舒张压：30 ～ 200 mmHg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14、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血压测量精度：误差≤ 3 mmHg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15、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血压测量间隔时间： 5 ～ 240分钟可选择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16、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重量：≤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200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g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en-US" w:eastAsia="zh-CN" w:bidi="ar"/>
        </w:rPr>
        <w:t>分析软件要求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17、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在同一时间点上显示心电波形与血压袖带内压力震动波形，显示心电与血压的关联性。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18、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同时显示血压舒张压、收缩及每一次血压测量时的袖带内压力震动波形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19、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采用全模板方式识别QRS波，可分为室性、室上性、正常和干扰四大类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20、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软件具备双通道的自动分析功能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21、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三位一体的操作界面，三层结构在同一操作界面中显示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22、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具备阵次模式功能，在任意编辑界面的标准图中，可将任意时间段的心电图全部选定并做相应的编辑操作（QRS波类型定义，事件定义或者重新分析），避免了逐波编辑的大工作量，从而大大减短分析时间</w:t>
      </w:r>
      <w:r>
        <w:rPr>
          <w:rFonts w:hint="default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23、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可自动批处理心电数据，提高分析速度。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24、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可调整判定阈值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25、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全面的ST段报告，包括：偏移量、斜率、持续时间、心率等数据</w:t>
      </w:r>
      <w:r>
        <w:rPr>
          <w:rFonts w:hint="default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26、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除基本的心律失常、ST段分析外，还具有心律震荡分析，心率变异（HRV）时域、频域和非线形分析，起搏分析，QTc分析，房颤分析，睡眠呼吸分析。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27、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有多种心电图浏览模式，自动生成各种典型心电图片段。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28、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软件拥有直方图查看与编辑功能，包含RR间期、NN间期、NV间期、NS间期、VN间期、VV间期、SN间期、SV间期、SS间期等各类直方图，并且提供指定节律关系自定义直方图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29、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打印报告种类齐全，并有预览功能</w:t>
      </w:r>
      <w:r>
        <w:rPr>
          <w:rFonts w:hint="default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/>
          <w:lang w:val="zh-CN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30、支持与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Hans" w:bidi="ar"/>
        </w:rPr>
        <w:t>医院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现有的心电信息管理系统无缝对接，所产生的接口费由供应商自行承担，提供承诺函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eastAsia="zh-CN" w:bidi="ar"/>
        </w:rPr>
        <w:t>（二）生物显微镜及其采集系统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" w:hAnsi="仿宋" w:eastAsia="仿宋" w:cs="仿宋"/>
          <w:b/>
          <w:bCs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eastAsia="zh-CN" w:bidi="ar"/>
        </w:rPr>
        <w:t>数量：</w:t>
      </w: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en-US" w:eastAsia="zh-CN" w:bidi="ar"/>
        </w:rPr>
        <w:t>2套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_GB2312" w:hAnsi="仿宋_GB2312" w:eastAsia="仿宋_GB2312" w:cs="仿宋_GB2312"/>
          <w:b/>
          <w:bCs w:val="0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highlight w:val="none"/>
          <w:lang w:val="en-US" w:eastAsia="zh-CN"/>
        </w:rPr>
        <w:t>5.26万元/套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highlight w:val="none"/>
          <w:lang w:val="zh-CN"/>
        </w:rPr>
        <w:t>技术</w:t>
      </w: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zh-CN" w:eastAsia="zh-CN" w:bidi="ar"/>
        </w:rPr>
        <w:t>要求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1、用于病理临床诊断的正置生物显微镜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2、光学系统:无限远轴向色差自由矫正光学系统，齐焦距离≥50mm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3、目镜筒：三目镜筒，含显微照相用观察筒，视场数≥24mm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4、目镜：宽视野10X，视场数≥25mm，具有双目屈光度调节功能，防霉处理。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5、物镜转换器：≥6孔物镜转换器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6、照明系统：内置式柯勒照明，光量预调，配有2个减光片和1个日光平衡片。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7、光源：类太阳光的卤素灯光源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8、物镜管径距离：≥180 mm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9、物镜：万能平场物镜≥4个，视场数=25，N.A相同的情况下，工作距离越大越好，要求不低于如下参数：</w:t>
      </w:r>
    </w:p>
    <w:p>
      <w:pPr>
        <w:pStyle w:val="4"/>
        <w:ind w:left="0" w:leftChars="0" w:firstLine="0" w:firstLine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9.1  4X， 同时满足 N.A ≥0.1,工作距离≥30 mm</w:t>
      </w:r>
    </w:p>
    <w:p>
      <w:pPr>
        <w:pStyle w:val="4"/>
        <w:ind w:left="0" w:leftChars="0" w:firstLine="0" w:firstLine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9.2  10X，同时满足 N.A ≥ 0.25,工作距离≥ 10 mm</w:t>
      </w:r>
    </w:p>
    <w:p>
      <w:pPr>
        <w:pStyle w:val="4"/>
        <w:ind w:left="0" w:leftChars="0" w:firstLine="0" w:firstLine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9.3  20X, 同时满足 N.A ≥ 0.25,工作距离≥ 1.2 mm</w:t>
      </w:r>
    </w:p>
    <w:p>
      <w:pPr>
        <w:pStyle w:val="4"/>
        <w:ind w:left="0" w:leftChars="0" w:firstLine="0" w:firstLine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 xml:space="preserve">9.4  40X，同时满足 N.A ≥0.65,工作距离≥0.56mm 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10、微调焦: 每转=0.1mm，最小读数=1微米；粗调焦行程=30mm±2mm。粗调焦松紧度可调（即扭力矩可调），并装有再聚焦制动器（即粗调限位）。微调旋钮左右可换。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11、载物台手柄：载物台操作手柄和调焦旋钮分布在显微镜两侧，这样避免调载物台手柄时，碰到调焦旋钮。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12、载物台行程：载物台X-Y运动行程范围为≥70mm × 50mm，备双切片标本夹。</w:t>
      </w:r>
    </w:p>
    <w:p>
      <w:pPr>
        <w:pStyle w:val="4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13、配备相机转接接口，可直接连接医院现有的工作站数码摄像机。</w:t>
      </w:r>
    </w:p>
    <w:p>
      <w:pPr>
        <w:pStyle w:val="2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14、复眼照明系统：使视场边缘的亮度达到中心亮度的95%以上。</w:t>
      </w:r>
    </w:p>
    <w:p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显微镜数码成像装置技术要求</w:t>
      </w:r>
    </w:p>
    <w:p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15、专门用于显微镜数码成像</w:t>
      </w:r>
    </w:p>
    <w:p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16、扫描模式：逐行扫描，对比度、亮度、饱和度、伽玛初始化校准等动态调整功能</w:t>
      </w:r>
    </w:p>
    <w:p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17、彩色光传感器：≥ 1/1.8”CCD</w:t>
      </w:r>
    </w:p>
    <w:p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18、像素量级：≥300万物理像素</w:t>
      </w:r>
    </w:p>
    <w:p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19、像素大小：≥3.3μm×3.3μm</w:t>
      </w:r>
    </w:p>
    <w:p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20、帧速率：35-65FPS</w:t>
      </w:r>
    </w:p>
    <w:p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21、曝光控制方式可手动/自动切换，曝光时间可手动输入</w:t>
      </w:r>
    </w:p>
    <w:p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22、曝光时间：≤2秒</w:t>
      </w:r>
    </w:p>
    <w:p>
      <w:pPr>
        <w:pStyle w:val="24"/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23、接口支持：Twain</w:t>
      </w:r>
    </w:p>
    <w:p>
      <w:pPr>
        <w:pStyle w:val="24"/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24、石英宽带滤光片，光谱响应范围：380~650纳米</w:t>
      </w:r>
    </w:p>
    <w:p>
      <w:pPr>
        <w:pStyle w:val="24"/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25、标准C型硬件接口，兼容国际通用显微镜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zh-CN" w:eastAsia="zh-CN" w:bidi="ar"/>
        </w:rPr>
        <w:t>（三）经皮黄疸仪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" w:hAnsi="仿宋" w:eastAsia="仿宋" w:cs="仿宋"/>
          <w:b/>
          <w:bCs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eastAsia="zh-CN" w:bidi="ar"/>
        </w:rPr>
        <w:t>数量：</w:t>
      </w: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en-US" w:eastAsia="zh-CN" w:bidi="ar"/>
        </w:rPr>
        <w:t>2台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" w:hAnsi="仿宋" w:eastAsia="仿宋" w:cs="仿宋"/>
          <w:b/>
          <w:bCs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zh-CN" w:eastAsia="zh-CN" w:bidi="ar"/>
        </w:rPr>
        <w:t>最高限价：</w:t>
      </w: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en-US" w:eastAsia="zh-CN" w:bidi="ar"/>
        </w:rPr>
        <w:t>1.7万元/台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  <w:highlight w:val="none"/>
          <w:lang w:val="zh-CN" w:eastAsia="zh-CN" w:bidi="ar"/>
        </w:rPr>
        <w:t>技术要求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检测方法：绿、蓝光比较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示值误差：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00~15±1；16~25±1.5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3、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显示方法：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LED显示（至少精确到小数点后一位），单位为mg/dl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4、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光源：氙闪光灯，使用寿命≥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10万次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5、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开启准备时间：≤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10s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6、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重量：≤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250g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7、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校验盘：对白色屏（“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00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zh-CN" w:eastAsia="zh-CN" w:bidi="ar"/>
        </w:rPr>
        <w:t>”）显示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00.0或00.1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"/>
        </w:rPr>
        <w:t>对黄色屏（“20”）显示20.0±1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符合条件且愿意参加竞选的单位需提供相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关资质文件电子版发送到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0。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上午10：00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监督电话：0832-2155638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bookmarkStart w:id="0" w:name="_GoBack"/>
      <w:bookmarkEnd w:id="0"/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6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873" w:right="846" w:bottom="873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0B1546"/>
    <w:rsid w:val="097B233E"/>
    <w:rsid w:val="0A9F26A1"/>
    <w:rsid w:val="0C033975"/>
    <w:rsid w:val="107F3B84"/>
    <w:rsid w:val="15C329CB"/>
    <w:rsid w:val="180B44F0"/>
    <w:rsid w:val="19D72956"/>
    <w:rsid w:val="270771DE"/>
    <w:rsid w:val="2B2917BE"/>
    <w:rsid w:val="2F5224B0"/>
    <w:rsid w:val="318446C0"/>
    <w:rsid w:val="337001EB"/>
    <w:rsid w:val="352A51E4"/>
    <w:rsid w:val="35D94C06"/>
    <w:rsid w:val="372E3891"/>
    <w:rsid w:val="398D1182"/>
    <w:rsid w:val="4AA01772"/>
    <w:rsid w:val="508428CE"/>
    <w:rsid w:val="515E4249"/>
    <w:rsid w:val="55545BCC"/>
    <w:rsid w:val="5ACA016B"/>
    <w:rsid w:val="5F00693F"/>
    <w:rsid w:val="665415CD"/>
    <w:rsid w:val="6A306D9C"/>
    <w:rsid w:val="71F33D04"/>
    <w:rsid w:val="73200045"/>
    <w:rsid w:val="74457FA5"/>
    <w:rsid w:val="74620C7F"/>
    <w:rsid w:val="77AA40E4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3"/>
    <w:basedOn w:val="1"/>
    <w:next w:val="1"/>
    <w:unhideWhenUsed/>
    <w:qFormat/>
    <w:locked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spacing w:after="120"/>
      <w:jc w:val="both"/>
      <w:textAlignment w:val="baseline"/>
    </w:pPr>
    <w:rPr>
      <w:rFonts w:ascii="宋体" w:hAnsi="Times New Roman"/>
      <w:kern w:val="0"/>
      <w:sz w:val="34"/>
      <w:szCs w:val="20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annotation text"/>
    <w:basedOn w:val="1"/>
    <w:link w:val="27"/>
    <w:semiHidden/>
    <w:qFormat/>
    <w:uiPriority w:val="99"/>
    <w:pPr>
      <w:jc w:val="left"/>
    </w:pPr>
  </w:style>
  <w:style w:type="paragraph" w:styleId="6">
    <w:name w:val="Body Text"/>
    <w:basedOn w:val="1"/>
    <w:link w:val="18"/>
    <w:qFormat/>
    <w:uiPriority w:val="99"/>
    <w:pPr>
      <w:spacing w:after="120"/>
    </w:pPr>
  </w:style>
  <w:style w:type="paragraph" w:styleId="7">
    <w:name w:val="Date"/>
    <w:basedOn w:val="1"/>
    <w:next w:val="1"/>
    <w:link w:val="19"/>
    <w:qFormat/>
    <w:uiPriority w:val="99"/>
    <w:pPr>
      <w:ind w:left="100" w:leftChars="2500"/>
    </w:pPr>
  </w:style>
  <w:style w:type="paragraph" w:styleId="8">
    <w:name w:val="Balloon Text"/>
    <w:basedOn w:val="1"/>
    <w:link w:val="20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10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11">
    <w:name w:val="annotation subject"/>
    <w:basedOn w:val="5"/>
    <w:next w:val="5"/>
    <w:link w:val="28"/>
    <w:semiHidden/>
    <w:qFormat/>
    <w:uiPriority w:val="99"/>
    <w:rPr>
      <w:b/>
      <w:bCs/>
    </w:rPr>
  </w:style>
  <w:style w:type="table" w:styleId="13">
    <w:name w:val="Table Grid"/>
    <w:basedOn w:val="12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mphasis"/>
    <w:basedOn w:val="14"/>
    <w:qFormat/>
    <w:uiPriority w:val="99"/>
    <w:rPr>
      <w:i/>
      <w:iCs/>
    </w:rPr>
  </w:style>
  <w:style w:type="character" w:styleId="16">
    <w:name w:val="Hyperlink"/>
    <w:basedOn w:val="14"/>
    <w:qFormat/>
    <w:uiPriority w:val="99"/>
    <w:rPr>
      <w:color w:val="0000FF"/>
      <w:u w:val="single"/>
    </w:rPr>
  </w:style>
  <w:style w:type="character" w:styleId="17">
    <w:name w:val="annotation reference"/>
    <w:basedOn w:val="14"/>
    <w:semiHidden/>
    <w:qFormat/>
    <w:uiPriority w:val="99"/>
    <w:rPr>
      <w:sz w:val="21"/>
      <w:szCs w:val="21"/>
    </w:rPr>
  </w:style>
  <w:style w:type="character" w:customStyle="1" w:styleId="18">
    <w:name w:val="正文文本 Char"/>
    <w:basedOn w:val="14"/>
    <w:link w:val="6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9">
    <w:name w:val="日期 Char"/>
    <w:basedOn w:val="14"/>
    <w:link w:val="7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20">
    <w:name w:val="批注框文本 Char"/>
    <w:basedOn w:val="14"/>
    <w:link w:val="8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21">
    <w:name w:val="页脚 Char"/>
    <w:basedOn w:val="14"/>
    <w:link w:val="9"/>
    <w:qFormat/>
    <w:locked/>
    <w:uiPriority w:val="99"/>
    <w:rPr>
      <w:kern w:val="2"/>
      <w:sz w:val="18"/>
      <w:szCs w:val="18"/>
    </w:rPr>
  </w:style>
  <w:style w:type="character" w:customStyle="1" w:styleId="22">
    <w:name w:val="页眉 Char"/>
    <w:basedOn w:val="14"/>
    <w:link w:val="10"/>
    <w:qFormat/>
    <w:locked/>
    <w:uiPriority w:val="0"/>
    <w:rPr>
      <w:kern w:val="2"/>
      <w:sz w:val="18"/>
      <w:szCs w:val="18"/>
    </w:rPr>
  </w:style>
  <w:style w:type="character" w:styleId="23">
    <w:name w:val="Placeholder Text"/>
    <w:basedOn w:val="14"/>
    <w:semiHidden/>
    <w:qFormat/>
    <w:uiPriority w:val="99"/>
    <w:rPr>
      <w:color w:val="808080"/>
    </w:rPr>
  </w:style>
  <w:style w:type="paragraph" w:styleId="24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5">
    <w:name w:val="段"/>
    <w:link w:val="26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6">
    <w:name w:val="段 Char"/>
    <w:basedOn w:val="14"/>
    <w:link w:val="25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7">
    <w:name w:val="批注文字 Char"/>
    <w:basedOn w:val="14"/>
    <w:link w:val="5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8">
    <w:name w:val="批注主题 Char"/>
    <w:basedOn w:val="27"/>
    <w:link w:val="11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8</TotalTime>
  <ScaleCrop>false</ScaleCrop>
  <LinksUpToDate>false</LinksUpToDate>
  <CharactersWithSpaces>5337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蔻蔻</cp:lastModifiedBy>
  <cp:lastPrinted>2021-01-15T02:39:00Z</cp:lastPrinted>
  <dcterms:modified xsi:type="dcterms:W3CDTF">2021-01-22T08:36:08Z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