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cs="宋体"/>
          <w:b/>
          <w:bCs/>
          <w:sz w:val="96"/>
          <w:szCs w:val="96"/>
          <w:vertAlign w:val="subscript"/>
          <w:lang w:eastAsia="zh-CN"/>
        </w:rPr>
        <w:t>心电监护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仪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投标人针对招标文件中的技术参数条款的相应得分规则如下：（一般技术参数条款指未标注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的条款，重要参数指标注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的条款）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分，重要参数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每有一项不满足的扣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注：针对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条款的技术响应，投标人需提供技术支撑材料（如产品检验报告注册证或向社会公开的产品彩页或产品说明书等），但如果“技术要求”中的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技术条款对技术支撑材料有要求，应按要求提供，否则对应技术参数条款将视为不满足。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27A057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3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2021-01-27T01:45:01Z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