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新区</w:t>
      </w:r>
      <w:r>
        <w:rPr>
          <w:rFonts w:hint="eastAsia" w:ascii="方正小标宋简体" w:hAnsi="方正小标宋简体" w:eastAsia="方正小标宋简体" w:cs="方正小标宋简体"/>
          <w:b w:val="0"/>
          <w:bCs/>
          <w:sz w:val="44"/>
          <w:szCs w:val="44"/>
          <w:lang w:val="en-US" w:eastAsia="zh-CN"/>
        </w:rPr>
        <w:t>32部电梯年度维护保养服务竞选公告</w:t>
      </w:r>
    </w:p>
    <w:p>
      <w:pPr>
        <w:spacing w:line="480" w:lineRule="exact"/>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一、竞选概况</w:t>
      </w:r>
    </w:p>
    <w:p>
      <w:pPr>
        <w:spacing w:line="48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1、根据《中华人民共和国安全生产法》、《中华人民共和国特种设备安全法》、《特种设备安全监察条例》、《特种设备质量监督与安全监察规定》、</w:t>
      </w:r>
      <w:r>
        <w:rPr>
          <w:rFonts w:hint="eastAsia" w:ascii="仿宋_GB2312" w:hAnsi="仿宋_GB2312" w:eastAsia="仿宋_GB2312" w:cs="仿宋_GB2312"/>
          <w:b w:val="0"/>
          <w:bCs/>
          <w:kern w:val="0"/>
          <w:sz w:val="32"/>
          <w:szCs w:val="32"/>
        </w:rPr>
        <w:t>《四川省电梯安全监督管理办法》</w:t>
      </w:r>
      <w:r>
        <w:rPr>
          <w:rFonts w:hint="eastAsia" w:ascii="仿宋_GB2312" w:hAnsi="仿宋_GB2312" w:eastAsia="仿宋_GB2312" w:cs="仿宋_GB2312"/>
          <w:b w:val="0"/>
          <w:bCs/>
          <w:sz w:val="32"/>
          <w:szCs w:val="32"/>
        </w:rPr>
        <w:t>的相关法规，对我院新区电样进行维护保养竞选；</w:t>
      </w:r>
    </w:p>
    <w:p>
      <w:pPr>
        <w:spacing w:line="48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2、维护保养时间1年。</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3、设备详情：</w:t>
      </w:r>
    </w:p>
    <w:tbl>
      <w:tblPr>
        <w:tblStyle w:val="5"/>
        <w:tblW w:w="1002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913"/>
        <w:gridCol w:w="1504"/>
        <w:gridCol w:w="1618"/>
        <w:gridCol w:w="2321"/>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10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序号</w:t>
            </w:r>
          </w:p>
        </w:tc>
        <w:tc>
          <w:tcPr>
            <w:tcW w:w="19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w:t>
            </w:r>
            <w:r>
              <w:rPr>
                <w:rFonts w:hint="eastAsia" w:ascii="仿宋_GB2312" w:hAnsi="仿宋_GB2312" w:eastAsia="仿宋_GB2312" w:cs="仿宋_GB2312"/>
                <w:sz w:val="32"/>
                <w:szCs w:val="32"/>
                <w:lang w:val="en-US"/>
              </w:rPr>
              <w:t>品牌</w:t>
            </w:r>
          </w:p>
        </w:tc>
        <w:tc>
          <w:tcPr>
            <w:tcW w:w="1504"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载重（kg）</w:t>
            </w:r>
          </w:p>
        </w:tc>
        <w:tc>
          <w:tcPr>
            <w:tcW w:w="1618"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速</w:t>
            </w:r>
            <w:r>
              <w:rPr>
                <w:rFonts w:hint="eastAsia" w:ascii="仿宋_GB2312" w:hAnsi="仿宋_GB2312" w:eastAsia="仿宋_GB2312" w:cs="仿宋_GB2312"/>
                <w:sz w:val="32"/>
                <w:szCs w:val="32"/>
                <w:lang w:val="en-US"/>
              </w:rPr>
              <w:t>度</w:t>
            </w:r>
            <w:r>
              <w:rPr>
                <w:rFonts w:hint="eastAsia" w:ascii="仿宋_GB2312" w:hAnsi="仿宋_GB2312" w:eastAsia="仿宋_GB2312" w:cs="仿宋_GB2312"/>
                <w:sz w:val="32"/>
                <w:szCs w:val="32"/>
              </w:rPr>
              <w:t>（m/s)</w:t>
            </w:r>
          </w:p>
        </w:tc>
        <w:tc>
          <w:tcPr>
            <w:tcW w:w="2321"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层/站</w:t>
            </w:r>
          </w:p>
        </w:tc>
        <w:tc>
          <w:tcPr>
            <w:tcW w:w="1656"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w:t>
            </w:r>
          </w:p>
        </w:tc>
        <w:tc>
          <w:tcPr>
            <w:tcW w:w="19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西子奥的斯</w:t>
            </w:r>
          </w:p>
        </w:tc>
        <w:tc>
          <w:tcPr>
            <w:tcW w:w="1504"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1000</w:t>
            </w:r>
          </w:p>
        </w:tc>
        <w:tc>
          <w:tcPr>
            <w:tcW w:w="1618"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1.75</w:t>
            </w:r>
          </w:p>
        </w:tc>
        <w:tc>
          <w:tcPr>
            <w:tcW w:w="2321"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12/12</w:t>
            </w:r>
          </w:p>
        </w:tc>
        <w:tc>
          <w:tcPr>
            <w:tcW w:w="1656"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w:t>
            </w:r>
          </w:p>
        </w:tc>
        <w:tc>
          <w:tcPr>
            <w:tcW w:w="1913" w:type="dxa"/>
            <w:vAlign w:val="center"/>
          </w:tcPr>
          <w:p>
            <w:pPr>
              <w:spacing w:before="2" w:after="47"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西子奥的斯</w:t>
            </w:r>
          </w:p>
        </w:tc>
        <w:tc>
          <w:tcPr>
            <w:tcW w:w="1504"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1600</w:t>
            </w:r>
          </w:p>
        </w:tc>
        <w:tc>
          <w:tcPr>
            <w:tcW w:w="1618"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1.75</w:t>
            </w:r>
          </w:p>
        </w:tc>
        <w:tc>
          <w:tcPr>
            <w:tcW w:w="2321"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12/12</w:t>
            </w:r>
          </w:p>
        </w:tc>
        <w:tc>
          <w:tcPr>
            <w:tcW w:w="1656"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w:t>
            </w:r>
          </w:p>
        </w:tc>
        <w:tc>
          <w:tcPr>
            <w:tcW w:w="1913" w:type="dxa"/>
            <w:vAlign w:val="center"/>
          </w:tcPr>
          <w:p>
            <w:pPr>
              <w:spacing w:before="2" w:after="47"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西子奥的斯</w:t>
            </w:r>
          </w:p>
        </w:tc>
        <w:tc>
          <w:tcPr>
            <w:tcW w:w="1504"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1600</w:t>
            </w:r>
          </w:p>
        </w:tc>
        <w:tc>
          <w:tcPr>
            <w:tcW w:w="1618"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1.75</w:t>
            </w:r>
          </w:p>
        </w:tc>
        <w:tc>
          <w:tcPr>
            <w:tcW w:w="2321"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13/13</w:t>
            </w:r>
          </w:p>
        </w:tc>
        <w:tc>
          <w:tcPr>
            <w:tcW w:w="1656"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4</w:t>
            </w:r>
          </w:p>
        </w:tc>
        <w:tc>
          <w:tcPr>
            <w:tcW w:w="19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通用电梯</w:t>
            </w:r>
          </w:p>
        </w:tc>
        <w:tc>
          <w:tcPr>
            <w:tcW w:w="1504"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1600</w:t>
            </w:r>
          </w:p>
        </w:tc>
        <w:tc>
          <w:tcPr>
            <w:tcW w:w="1618"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1.0</w:t>
            </w:r>
          </w:p>
        </w:tc>
        <w:tc>
          <w:tcPr>
            <w:tcW w:w="2321"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6/6/6</w:t>
            </w:r>
          </w:p>
        </w:tc>
        <w:tc>
          <w:tcPr>
            <w:tcW w:w="1656"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5</w:t>
            </w:r>
          </w:p>
        </w:tc>
        <w:tc>
          <w:tcPr>
            <w:tcW w:w="19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通用电梯</w:t>
            </w:r>
          </w:p>
        </w:tc>
        <w:tc>
          <w:tcPr>
            <w:tcW w:w="1504"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1350</w:t>
            </w:r>
          </w:p>
        </w:tc>
        <w:tc>
          <w:tcPr>
            <w:tcW w:w="1618"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1.0</w:t>
            </w:r>
          </w:p>
        </w:tc>
        <w:tc>
          <w:tcPr>
            <w:tcW w:w="2321"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6/6/6</w:t>
            </w:r>
          </w:p>
        </w:tc>
        <w:tc>
          <w:tcPr>
            <w:tcW w:w="1656"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6</w:t>
            </w:r>
          </w:p>
        </w:tc>
        <w:tc>
          <w:tcPr>
            <w:tcW w:w="19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通用电梯（扶梯）</w:t>
            </w:r>
          </w:p>
        </w:tc>
        <w:tc>
          <w:tcPr>
            <w:tcW w:w="1504"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618"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0.5</w:t>
            </w:r>
          </w:p>
        </w:tc>
        <w:tc>
          <w:tcPr>
            <w:tcW w:w="2321"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656"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共计</w:t>
            </w:r>
          </w:p>
        </w:tc>
        <w:tc>
          <w:tcPr>
            <w:tcW w:w="9012" w:type="dxa"/>
            <w:gridSpan w:val="5"/>
            <w:vAlign w:val="center"/>
          </w:tcPr>
          <w:p>
            <w:pPr>
              <w:pStyle w:val="7"/>
              <w:tabs>
                <w:tab w:val="left" w:pos="687"/>
              </w:tabs>
              <w:spacing w:before="2" w:after="47" w:line="480" w:lineRule="exac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32部电梯</w:t>
            </w:r>
          </w:p>
        </w:tc>
      </w:tr>
    </w:tbl>
    <w:p>
      <w:pPr>
        <w:spacing w:line="480" w:lineRule="exact"/>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 xml:space="preserve">资质要求  </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1、供应商必须具有在中华人民共和国境内注册的独立企业法人资格；并且具有合法、有效的营业执照；</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2、供应商必须是具《特种设备安装改造维修许可证》（电梯）证书、具备乘客电梯、自动扶梯维修B级及以上资质的特种设备经验的制造厂家或维保单位；</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3、供应商必须具有履行合同所必需的设备和专业技术能力；</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4、供应商必须具备相关法律、行政法规规定的其他条件；</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5、供应商应具有良好的商业信誉，没有处于被责令停业,财产被接管、冻结破产状态。</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6、供应商不是单位法定代表需提供竞选单位法人身份证复印件及竞选委托书和个人身份证复印件；</w:t>
      </w:r>
    </w:p>
    <w:p>
      <w:pPr>
        <w:spacing w:line="48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注：以上资料必须齐全，复印件须加盖竞选单位公章。</w:t>
      </w:r>
    </w:p>
    <w:p>
      <w:pPr>
        <w:spacing w:line="48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三、维保服务要求及内容（实质性要求）</w:t>
      </w:r>
    </w:p>
    <w:p>
      <w:pPr>
        <w:spacing w:line="48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1.服务要求：</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1.1本院（新区）驻点服务至少1人；</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1.2困人及故障应急维修工作需在5-10分钟内到达现场并处理；</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电梯故障所需更换的零部件（除曳引主机、装饰、增加安全部件以外的电梯其它零部件等）易损件1小时内更换并恢复；安全部件及大型机械部件1-3天内更换并恢复；控制系统、主板、变频器1-7天内更换并恢复；</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1.4按相关法规要求完成电梯的日常维护保养，保证电梯的正常运行使用，保证出现故障时的及时修复。</w:t>
      </w:r>
    </w:p>
    <w:p>
      <w:pPr>
        <w:spacing w:line="48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★2.维保内容：</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日常维护保养项目（内容）和要求：电梯维修保养符合《国家制造与安装安全规范》（GB7588-2033）、《电梯维修规范》（GB/T18775-20025）、及《特种设备安全监察条例》的要求，必须达到或超过特种设备技术安全规范（TSGT5002-2017）《维护保养规则》等国家标准的要求；</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2.2通过有计划的检修、保养，保证电梯各部件在良性循环状态下运转，延长各部件的工作寿命，及时更换除曳引主机部件、电梯装饰、规则要求新增设的安全部件外的其它零部件。保证电梯正常安全顺畅运行；</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为了使电梯顺利通过市场监督管理局的年度检查，协助市场监督管理局特种设备检验机构实施安全年检，如存在问题须立即整改，以取得电梯使用合格证。维保方须书面通知使用单位并最终协助质检部门和使用单位进行年检。保证电梯每年及时通过年审。</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2.4每月对电梯保养2次，供应商制定例行（每十五日）维护计划表（日期、梯号），供应商按照计划日期于工作时间下午13时至24时内（发生不可抗力情况例外）派技术人员对该电梯进行日常例行维护保养。维护保养应符合行业安全运行标准，每次保养完毕后，将有关维护保养或故障处理的《工作记录单》一式贰份，交我方签字确认后各自存档。并配合医院建立电梯管理档案资料：包括技术档案（如原理图、接线图等），维护保养记录，电梯检测资料及其他相关资料。 </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2.5自配工作所需的工具和设备，保养或维修时须设置安全警示标志。</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设立24小时维修热线电话，接到电梯困人故障或非困人故障报告后，维修人员需在15分钟内到达现场（无驻点维修人员需在30分钟内到达现场）。如不按规定时间到达现场造成的一切后果由维保单位承担。维保单位需记录电梯的运行状态、故障次数、修理次数等重要数据，为保养电梯建立运行档案。技术人员通过对数据的分析，全面了解电梯的运行情况，制定维护保养方案。</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2.7如本项目遇有重大接待任务、会议等情况，维保单位应提前对电梯进行安全检查，必要时加派维保人员到现场配合，免费提供全程监护服务。</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2.8维护保养的周期应根据电梯使用情况、工作环境而定，但只可增加，不能减少。 </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2.9维保单位承担所维修电梯发生的非人为因素引起的一切事故责任。</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2.10 维保单位应当对电梯维修做出相应的维修应急预案（预案需含解困、急修、备件、响应时间等相关内容）；</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2.11若发生下列情况，结算时扣除全部设备维保服务费的5%（每发生一次扣除5%）：</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⑴未完成日常保养任务；</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⑵电梯故障，未按要求的时间内到达现场；</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⑶电梯非正常运行或因故障连续停止运行1天以上。</w:t>
      </w:r>
    </w:p>
    <w:p>
      <w:pPr>
        <w:spacing w:line="48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★1、供应商必须对设备进行现场踏堪（取得现场踏堪凭证明）；</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2、符合条件且愿意参加竞选的单位于开选时到开选地点，凭现场踏堪凭证明入场，递交竞选文件。竞选文件应报送3份，封口处盖骑缝章；</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3、竞选所报价格必须包括维修、安装、调试、人工、应急服务、含税等；</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4、供应商需提供此次项目的分项报价明细，说明报价组成部份。</w:t>
      </w:r>
    </w:p>
    <w:p>
      <w:pPr>
        <w:spacing w:line="48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p>
    <w:p>
      <w:pPr>
        <w:spacing w:line="480" w:lineRule="exact"/>
        <w:ind w:left="641" w:leftChars="-533" w:hanging="1760" w:hangingChars="5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r>
        <w:rPr>
          <w:rFonts w:hint="eastAsia" w:ascii="仿宋_GB2312" w:hAnsi="仿宋_GB2312" w:eastAsia="仿宋_GB2312" w:cs="仿宋_GB2312"/>
          <w:sz w:val="32"/>
          <w:szCs w:val="32"/>
          <w:lang w:val="en-US" w:eastAsia="zh-CN"/>
        </w:rPr>
        <w:t>30分</w:t>
      </w:r>
      <w:r>
        <w:rPr>
          <w:rFonts w:hint="eastAsia" w:ascii="仿宋_GB2312" w:hAnsi="仿宋_GB2312" w:eastAsia="仿宋_GB2312" w:cs="仿宋_GB2312"/>
          <w:sz w:val="32"/>
          <w:szCs w:val="32"/>
        </w:rPr>
        <w:t>。</w:t>
      </w:r>
    </w:p>
    <w:p>
      <w:pPr>
        <w:spacing w:line="48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spacing w:line="48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综合评分法。</w:t>
      </w:r>
    </w:p>
    <w:p>
      <w:pPr>
        <w:spacing w:line="48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 黎</w:t>
      </w:r>
    </w:p>
    <w:p>
      <w:pPr>
        <w:spacing w:line="48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联系电话：13541616520</w:t>
      </w:r>
    </w:p>
    <w:p>
      <w:pPr>
        <w:spacing w:line="480" w:lineRule="exact"/>
        <w:ind w:firstLine="643" w:firstLineChars="200"/>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监督电话：0832-2155638</w:t>
      </w:r>
    </w:p>
    <w:p>
      <w:pPr>
        <w:spacing w:line="480" w:lineRule="exact"/>
        <w:ind w:firstLine="643" w:firstLineChars="200"/>
        <w:rPr>
          <w:rFonts w:hint="eastAsia" w:ascii="仿宋_GB2312" w:hAnsi="仿宋_GB2312" w:eastAsia="仿宋_GB2312" w:cs="仿宋_GB2312"/>
          <w:b/>
          <w:sz w:val="32"/>
          <w:szCs w:val="32"/>
        </w:rPr>
      </w:pPr>
    </w:p>
    <w:p>
      <w:pPr>
        <w:spacing w:line="480" w:lineRule="exact"/>
        <w:ind w:firstLine="643" w:firstLineChars="200"/>
        <w:rPr>
          <w:rFonts w:hint="eastAsia" w:ascii="仿宋_GB2312" w:hAnsi="仿宋_GB2312" w:eastAsia="仿宋_GB2312" w:cs="仿宋_GB2312"/>
          <w:b/>
          <w:sz w:val="32"/>
          <w:szCs w:val="32"/>
        </w:rPr>
      </w:pPr>
    </w:p>
    <w:p>
      <w:pPr>
        <w:spacing w:line="500" w:lineRule="exact"/>
        <w:jc w:val="both"/>
        <w:rPr>
          <w:rFonts w:hint="eastAsia" w:ascii="仿宋_GB2312" w:hAnsi="仿宋_GB2312" w:eastAsia="仿宋_GB2312" w:cs="仿宋_GB2312"/>
          <w:b/>
          <w:sz w:val="32"/>
          <w:szCs w:val="32"/>
        </w:rPr>
      </w:pPr>
    </w:p>
    <w:p>
      <w:pPr>
        <w:spacing w:line="500" w:lineRule="exact"/>
        <w:jc w:val="center"/>
        <w:rPr>
          <w:rFonts w:hint="eastAsia" w:ascii="方正小标宋简体" w:hAnsi="方正小标宋简体" w:eastAsia="方正小标宋简体" w:cs="方正小标宋简体"/>
          <w:b w:val="0"/>
          <w:bCs/>
          <w:sz w:val="40"/>
          <w:szCs w:val="40"/>
        </w:rPr>
      </w:pPr>
      <w:r>
        <w:rPr>
          <w:rFonts w:hint="eastAsia" w:ascii="方正小标宋简体" w:hAnsi="方正小标宋简体" w:eastAsia="方正小标宋简体" w:cs="方正小标宋简体"/>
          <w:b w:val="0"/>
          <w:bCs/>
          <w:sz w:val="40"/>
          <w:szCs w:val="40"/>
        </w:rPr>
        <w:t>内江市第一人民医院</w:t>
      </w:r>
    </w:p>
    <w:p>
      <w:pPr>
        <w:spacing w:line="500" w:lineRule="exact"/>
        <w:jc w:val="center"/>
        <w:rPr>
          <w:rFonts w:hint="eastAsia" w:ascii="仿宋_GB2312" w:hAnsi="仿宋_GB2312" w:eastAsia="仿宋_GB2312" w:cs="仿宋_GB2312"/>
          <w:b/>
          <w:sz w:val="32"/>
          <w:szCs w:val="32"/>
        </w:rPr>
      </w:pPr>
      <w:r>
        <w:rPr>
          <w:rFonts w:hint="eastAsia" w:ascii="方正小标宋简体" w:hAnsi="方正小标宋简体" w:eastAsia="方正小标宋简体" w:cs="方正小标宋简体"/>
          <w:b w:val="0"/>
          <w:bCs/>
          <w:sz w:val="40"/>
          <w:szCs w:val="40"/>
        </w:rPr>
        <w:t>新区32部电梯年度维护保养服务竞选评分细则</w:t>
      </w:r>
    </w:p>
    <w:tbl>
      <w:tblPr>
        <w:tblStyle w:val="5"/>
        <w:tblW w:w="10915"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851"/>
        <w:gridCol w:w="666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134" w:type="dxa"/>
            <w:vAlign w:val="center"/>
          </w:tcPr>
          <w:p>
            <w:pPr>
              <w:spacing w:line="5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评分</w:t>
            </w:r>
          </w:p>
          <w:p>
            <w:pPr>
              <w:spacing w:line="5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w:t>
            </w:r>
          </w:p>
        </w:tc>
        <w:tc>
          <w:tcPr>
            <w:tcW w:w="851" w:type="dxa"/>
            <w:vAlign w:val="center"/>
          </w:tcPr>
          <w:p>
            <w:pPr>
              <w:spacing w:line="5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单项分值</w:t>
            </w:r>
          </w:p>
        </w:tc>
        <w:tc>
          <w:tcPr>
            <w:tcW w:w="6662" w:type="dxa"/>
            <w:vAlign w:val="center"/>
          </w:tcPr>
          <w:p>
            <w:pPr>
              <w:spacing w:line="5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评分内容</w:t>
            </w:r>
          </w:p>
        </w:tc>
        <w:tc>
          <w:tcPr>
            <w:tcW w:w="1559" w:type="dxa"/>
            <w:vAlign w:val="center"/>
          </w:tcPr>
          <w:p>
            <w:pPr>
              <w:spacing w:line="500" w:lineRule="exact"/>
              <w:ind w:firstLine="281" w:firstLineChars="1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评审因素</w:t>
            </w:r>
          </w:p>
          <w:p>
            <w:pPr>
              <w:spacing w:line="5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（单项得分）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134"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w:t>
            </w:r>
          </w:p>
        </w:tc>
        <w:tc>
          <w:tcPr>
            <w:tcW w:w="851"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10分</w:t>
            </w:r>
          </w:p>
        </w:tc>
        <w:tc>
          <w:tcPr>
            <w:tcW w:w="6662" w:type="dxa"/>
          </w:tcPr>
          <w:p>
            <w:pPr>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以满足竞选文件要求且竞选价格最低的竞选报价为基准价，竞选报价分值=（基准价÷竞选报价）×10（保留两位小数）</w:t>
            </w:r>
          </w:p>
        </w:tc>
        <w:tc>
          <w:tcPr>
            <w:tcW w:w="155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共同评审</w:t>
            </w:r>
          </w:p>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134"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维保维护服务的实施方案</w:t>
            </w:r>
          </w:p>
        </w:tc>
        <w:tc>
          <w:tcPr>
            <w:tcW w:w="851"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36分</w:t>
            </w:r>
          </w:p>
        </w:tc>
        <w:tc>
          <w:tcPr>
            <w:tcW w:w="6662" w:type="dxa"/>
          </w:tcPr>
          <w:p>
            <w:pPr>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针对本项目提供项目服务方案，其服务方案中包含但不限于电梯常规检查措施，检查频率，清洁频率，备品备件准备情况，技术故障处理措施，特殊情况应急措施等，以上内容每项4分，全部具有的得24分。内容明确合理，满足采购人核心诉求，切合项目实际、操作性强的每项加2分，最多加12分。</w:t>
            </w:r>
          </w:p>
        </w:tc>
        <w:tc>
          <w:tcPr>
            <w:tcW w:w="155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134"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履约保障措施</w:t>
            </w:r>
          </w:p>
        </w:tc>
        <w:tc>
          <w:tcPr>
            <w:tcW w:w="851"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22分</w:t>
            </w:r>
          </w:p>
        </w:tc>
        <w:tc>
          <w:tcPr>
            <w:tcW w:w="6662" w:type="dxa"/>
          </w:tcPr>
          <w:p>
            <w:pPr>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1、可在项目地设置固定维修办公点得6分：只设有24小时固定服务电话2分;只设有移动电话的应急响应服务电话2分；只设有24小时服务投诉电话2分；只设有移动服务电话的得1分；此项最高6分。</w:t>
            </w:r>
          </w:p>
          <w:p>
            <w:pPr>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2、人员配备10分：驻点维保人员配备优于竞选要求的得10分；符合竞选要求的得5分；少于竞选要求的得0分；此项最高10分。</w:t>
            </w:r>
          </w:p>
          <w:p>
            <w:pPr>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3、紧急服务响应时间优于竞选要求的得6分，符合竞选要求的得4分；不符的得0分；此项最高6分。</w:t>
            </w:r>
          </w:p>
        </w:tc>
        <w:tc>
          <w:tcPr>
            <w:tcW w:w="155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trPr>
        <w:tc>
          <w:tcPr>
            <w:tcW w:w="70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134"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履约能力</w:t>
            </w:r>
          </w:p>
        </w:tc>
        <w:tc>
          <w:tcPr>
            <w:tcW w:w="851"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17分</w:t>
            </w:r>
          </w:p>
        </w:tc>
        <w:tc>
          <w:tcPr>
            <w:tcW w:w="6662" w:type="dxa"/>
          </w:tcPr>
          <w:p>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1、根据供应商提供类似公共场所的项目业绩（2018至今）进行评定，每提供一个类似项目业绩得1分，最多得5分；</w:t>
            </w:r>
          </w:p>
          <w:p>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2、供应商具有ISO9001质量管理体系认证的得4分；</w:t>
            </w:r>
          </w:p>
          <w:p>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3、供应商具有GB/T28001职业健康安全人力认证的得4分；</w:t>
            </w:r>
          </w:p>
          <w:p>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4、供应商获具有ISO14001环境管理体系的得4分。</w:t>
            </w:r>
          </w:p>
          <w:p>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注：提供合同或者成交通知书复印件、证书复印件盖章</w:t>
            </w:r>
          </w:p>
        </w:tc>
        <w:tc>
          <w:tcPr>
            <w:tcW w:w="155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共同评审</w:t>
            </w:r>
          </w:p>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134"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应急预案13%</w:t>
            </w:r>
          </w:p>
        </w:tc>
        <w:tc>
          <w:tcPr>
            <w:tcW w:w="851"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13分</w:t>
            </w:r>
          </w:p>
        </w:tc>
        <w:tc>
          <w:tcPr>
            <w:tcW w:w="6662" w:type="dxa"/>
          </w:tcPr>
          <w:p>
            <w:pPr>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针对竞选项目的应急保障需要，建立完善的应急服务预案，有明确的应急措施，困人后保证在竞选规定时间内到达现场施救，电梯故障及时处理问题，高于竞选项目实际需求，得13分；符合竞选项目需求得8分；优于竞选项目，每项加1分，最高加5分。本项目最高得13分。</w:t>
            </w:r>
          </w:p>
        </w:tc>
        <w:tc>
          <w:tcPr>
            <w:tcW w:w="155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134"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竞选文件制作规范2%</w:t>
            </w:r>
          </w:p>
        </w:tc>
        <w:tc>
          <w:tcPr>
            <w:tcW w:w="851"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2分</w:t>
            </w:r>
          </w:p>
        </w:tc>
        <w:tc>
          <w:tcPr>
            <w:tcW w:w="6662" w:type="dxa"/>
          </w:tcPr>
          <w:p>
            <w:pPr>
              <w:spacing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竞选文件制作规范、编制完整、格式规范、内容清晰、装订整齐等没有细微偏差情形的得2分；有一项细微偏差扣0.5分，直至该项分值扣完为止。</w:t>
            </w:r>
          </w:p>
        </w:tc>
        <w:tc>
          <w:tcPr>
            <w:tcW w:w="1559" w:type="dxa"/>
            <w:vAlign w:val="center"/>
          </w:tcPr>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共同评分</w:t>
            </w:r>
          </w:p>
          <w:p>
            <w:pPr>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gridSpan w:val="2"/>
            <w:vAlign w:val="center"/>
          </w:tcPr>
          <w:p>
            <w:pPr>
              <w:spacing w:line="5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备注</w:t>
            </w:r>
          </w:p>
        </w:tc>
        <w:tc>
          <w:tcPr>
            <w:tcW w:w="9072" w:type="dxa"/>
            <w:gridSpan w:val="3"/>
            <w:vAlign w:val="center"/>
          </w:tcPr>
          <w:p>
            <w:pPr>
              <w:spacing w:line="5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评分的取值按四舍五入法，保留小数点后两位。</w:t>
            </w:r>
          </w:p>
        </w:tc>
      </w:tr>
    </w:tbl>
    <w:p>
      <w:pPr>
        <w:spacing w:line="500" w:lineRule="exact"/>
        <w:jc w:val="left"/>
        <w:rPr>
          <w:rFonts w:hint="eastAsia" w:ascii="仿宋_GB2312" w:hAnsi="仿宋_GB2312" w:eastAsia="仿宋_GB2312" w:cs="仿宋_GB2312"/>
          <w:b/>
          <w:sz w:val="32"/>
          <w:szCs w:val="32"/>
        </w:rPr>
      </w:pPr>
    </w:p>
    <w:p>
      <w:pPr>
        <w:spacing w:line="500" w:lineRule="exact"/>
        <w:ind w:firstLine="640" w:firstLineChars="200"/>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jc w:val="center"/>
        <w:rPr>
          <w:rFonts w:hint="eastAsia" w:ascii="仿宋_GB2312" w:hAnsi="仿宋_GB2312" w:eastAsia="仿宋_GB2312" w:cs="仿宋_GB2312"/>
          <w:b/>
          <w:sz w:val="32"/>
          <w:szCs w:val="32"/>
        </w:rPr>
      </w:pPr>
    </w:p>
    <w:tbl>
      <w:tblPr>
        <w:tblStyle w:val="5"/>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798"/>
        <w:gridCol w:w="1463"/>
        <w:gridCol w:w="2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9" w:type="dxa"/>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公司/单位</w:t>
            </w:r>
          </w:p>
        </w:tc>
        <w:tc>
          <w:tcPr>
            <w:tcW w:w="2798" w:type="dxa"/>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踏堪项目/设备</w:t>
            </w:r>
          </w:p>
        </w:tc>
        <w:tc>
          <w:tcPr>
            <w:tcW w:w="1463" w:type="dxa"/>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踏堪时间</w:t>
            </w:r>
          </w:p>
        </w:tc>
        <w:tc>
          <w:tcPr>
            <w:tcW w:w="2931" w:type="dxa"/>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对接人员(签字)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589" w:type="dxa"/>
          </w:tcPr>
          <w:p>
            <w:pPr>
              <w:jc w:val="center"/>
              <w:rPr>
                <w:rFonts w:hint="eastAsia" w:ascii="仿宋_GB2312" w:hAnsi="仿宋_GB2312" w:eastAsia="仿宋_GB2312" w:cs="仿宋_GB2312"/>
                <w:sz w:val="32"/>
                <w:szCs w:val="32"/>
              </w:rPr>
            </w:pPr>
          </w:p>
        </w:tc>
        <w:tc>
          <w:tcPr>
            <w:tcW w:w="2798" w:type="dxa"/>
          </w:tcPr>
          <w:p>
            <w:pPr>
              <w:jc w:val="center"/>
              <w:rPr>
                <w:rFonts w:hint="eastAsia" w:ascii="仿宋_GB2312" w:hAnsi="仿宋_GB2312" w:eastAsia="仿宋_GB2312" w:cs="仿宋_GB2312"/>
                <w:sz w:val="32"/>
                <w:szCs w:val="32"/>
              </w:rPr>
            </w:pPr>
          </w:p>
        </w:tc>
        <w:tc>
          <w:tcPr>
            <w:tcW w:w="1463" w:type="dxa"/>
          </w:tcPr>
          <w:p>
            <w:pPr>
              <w:jc w:val="center"/>
              <w:rPr>
                <w:rFonts w:hint="eastAsia" w:ascii="仿宋_GB2312" w:hAnsi="仿宋_GB2312" w:eastAsia="仿宋_GB2312" w:cs="仿宋_GB2312"/>
                <w:sz w:val="32"/>
                <w:szCs w:val="32"/>
              </w:rPr>
            </w:pPr>
          </w:p>
        </w:tc>
        <w:tc>
          <w:tcPr>
            <w:tcW w:w="2931" w:type="dxa"/>
          </w:tcPr>
          <w:p>
            <w:pPr>
              <w:jc w:val="center"/>
              <w:rPr>
                <w:rFonts w:hint="eastAsia" w:ascii="仿宋_GB2312" w:hAnsi="仿宋_GB2312" w:eastAsia="仿宋_GB2312" w:cs="仿宋_GB2312"/>
                <w:sz w:val="32"/>
                <w:szCs w:val="32"/>
              </w:rPr>
            </w:pPr>
          </w:p>
        </w:tc>
      </w:tr>
    </w:tbl>
    <w:p>
      <w:pPr>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内江市第一人民医院总务科</w:t>
      </w:r>
    </w:p>
    <w:p>
      <w:pPr>
        <w:ind w:right="42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（科室盖章有效）</w:t>
      </w:r>
    </w:p>
    <w:p>
      <w:pPr>
        <w:jc w:val="center"/>
        <w:rPr>
          <w:rFonts w:hint="eastAsia" w:ascii="仿宋_GB2312" w:hAnsi="仿宋_GB2312" w:eastAsia="仿宋_GB2312" w:cs="仿宋_GB2312"/>
          <w:b/>
          <w:sz w:val="32"/>
          <w:szCs w:val="32"/>
        </w:rPr>
      </w:pPr>
    </w:p>
    <w:p>
      <w:pPr>
        <w:rPr>
          <w:rFonts w:hint="eastAsia" w:ascii="仿宋_GB2312" w:hAnsi="仿宋_GB2312" w:eastAsia="仿宋_GB2312" w:cs="仿宋_GB2312"/>
          <w:sz w:val="32"/>
          <w:szCs w:val="32"/>
        </w:rPr>
      </w:pPr>
    </w:p>
    <w:p>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jc w:val="center"/>
        <w:rPr>
          <w:rFonts w:hint="eastAsia" w:ascii="仿宋_GB2312" w:hAnsi="仿宋_GB2312" w:eastAsia="仿宋_GB2312" w:cs="仿宋_GB2312"/>
          <w:b/>
          <w:sz w:val="32"/>
          <w:szCs w:val="32"/>
        </w:rPr>
      </w:pPr>
    </w:p>
    <w:tbl>
      <w:tblPr>
        <w:tblStyle w:val="5"/>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798"/>
        <w:gridCol w:w="1463"/>
        <w:gridCol w:w="2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9" w:type="dxa"/>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公司/单位</w:t>
            </w:r>
          </w:p>
        </w:tc>
        <w:tc>
          <w:tcPr>
            <w:tcW w:w="2798" w:type="dxa"/>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踏堪项目/设备</w:t>
            </w:r>
          </w:p>
        </w:tc>
        <w:tc>
          <w:tcPr>
            <w:tcW w:w="1463" w:type="dxa"/>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踏堪时间</w:t>
            </w:r>
          </w:p>
        </w:tc>
        <w:tc>
          <w:tcPr>
            <w:tcW w:w="2931" w:type="dxa"/>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对接人员(签字)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589" w:type="dxa"/>
          </w:tcPr>
          <w:p>
            <w:pPr>
              <w:jc w:val="center"/>
              <w:rPr>
                <w:rFonts w:hint="eastAsia" w:ascii="仿宋_GB2312" w:hAnsi="仿宋_GB2312" w:eastAsia="仿宋_GB2312" w:cs="仿宋_GB2312"/>
                <w:sz w:val="32"/>
                <w:szCs w:val="32"/>
              </w:rPr>
            </w:pPr>
          </w:p>
        </w:tc>
        <w:tc>
          <w:tcPr>
            <w:tcW w:w="2798" w:type="dxa"/>
          </w:tcPr>
          <w:p>
            <w:pPr>
              <w:jc w:val="center"/>
              <w:rPr>
                <w:rFonts w:hint="eastAsia" w:ascii="仿宋_GB2312" w:hAnsi="仿宋_GB2312" w:eastAsia="仿宋_GB2312" w:cs="仿宋_GB2312"/>
                <w:sz w:val="32"/>
                <w:szCs w:val="32"/>
              </w:rPr>
            </w:pPr>
          </w:p>
        </w:tc>
        <w:tc>
          <w:tcPr>
            <w:tcW w:w="1463" w:type="dxa"/>
          </w:tcPr>
          <w:p>
            <w:pPr>
              <w:jc w:val="center"/>
              <w:rPr>
                <w:rFonts w:hint="eastAsia" w:ascii="仿宋_GB2312" w:hAnsi="仿宋_GB2312" w:eastAsia="仿宋_GB2312" w:cs="仿宋_GB2312"/>
                <w:sz w:val="32"/>
                <w:szCs w:val="32"/>
              </w:rPr>
            </w:pPr>
          </w:p>
        </w:tc>
        <w:tc>
          <w:tcPr>
            <w:tcW w:w="2931" w:type="dxa"/>
          </w:tcPr>
          <w:p>
            <w:pPr>
              <w:jc w:val="center"/>
              <w:rPr>
                <w:rFonts w:hint="eastAsia" w:ascii="仿宋_GB2312" w:hAnsi="仿宋_GB2312" w:eastAsia="仿宋_GB2312" w:cs="仿宋_GB2312"/>
                <w:sz w:val="32"/>
                <w:szCs w:val="32"/>
              </w:rPr>
            </w:pPr>
          </w:p>
        </w:tc>
      </w:tr>
    </w:tbl>
    <w:p>
      <w:pPr>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内江市第一人民医院总务科</w:t>
      </w:r>
    </w:p>
    <w:p>
      <w:pPr>
        <w:ind w:right="420"/>
        <w:jc w:val="right"/>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（科室盖章有效）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40F88"/>
    <w:rsid w:val="000B173A"/>
    <w:rsid w:val="00100BDA"/>
    <w:rsid w:val="00125328"/>
    <w:rsid w:val="00203B9E"/>
    <w:rsid w:val="00286D79"/>
    <w:rsid w:val="002D5AFC"/>
    <w:rsid w:val="003829DF"/>
    <w:rsid w:val="003B46AC"/>
    <w:rsid w:val="00440F88"/>
    <w:rsid w:val="004A174A"/>
    <w:rsid w:val="005F6B7F"/>
    <w:rsid w:val="00635690"/>
    <w:rsid w:val="006913A8"/>
    <w:rsid w:val="006C720E"/>
    <w:rsid w:val="007C538B"/>
    <w:rsid w:val="008036CE"/>
    <w:rsid w:val="00846045"/>
    <w:rsid w:val="00887768"/>
    <w:rsid w:val="008B77A1"/>
    <w:rsid w:val="00931808"/>
    <w:rsid w:val="009B374B"/>
    <w:rsid w:val="009F211E"/>
    <w:rsid w:val="00A31DEA"/>
    <w:rsid w:val="00A3284F"/>
    <w:rsid w:val="00A34D47"/>
    <w:rsid w:val="00A41695"/>
    <w:rsid w:val="00A94D5C"/>
    <w:rsid w:val="00B332DA"/>
    <w:rsid w:val="00BF6270"/>
    <w:rsid w:val="00C109D1"/>
    <w:rsid w:val="00C6495A"/>
    <w:rsid w:val="00C81C06"/>
    <w:rsid w:val="00CA60CB"/>
    <w:rsid w:val="00D8027F"/>
    <w:rsid w:val="00E24D59"/>
    <w:rsid w:val="00EB0B86"/>
    <w:rsid w:val="00EE3646"/>
    <w:rsid w:val="00F10E56"/>
    <w:rsid w:val="00F57718"/>
    <w:rsid w:val="00F74669"/>
    <w:rsid w:val="027C27F5"/>
    <w:rsid w:val="126C342A"/>
    <w:rsid w:val="1375468C"/>
    <w:rsid w:val="158552D3"/>
    <w:rsid w:val="1CCA7E5B"/>
    <w:rsid w:val="2C0F3FDA"/>
    <w:rsid w:val="349C54AE"/>
    <w:rsid w:val="45F84130"/>
    <w:rsid w:val="47E07A83"/>
    <w:rsid w:val="4D9864FC"/>
    <w:rsid w:val="67712CEB"/>
    <w:rsid w:val="6AA838E5"/>
    <w:rsid w:val="756C3218"/>
    <w:rsid w:val="7768211B"/>
    <w:rsid w:val="783E582A"/>
    <w:rsid w:val="79B94B6E"/>
    <w:rsid w:val="7A525B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1"/>
    <w:pPr>
      <w:autoSpaceDE w:val="0"/>
      <w:autoSpaceDN w:val="0"/>
      <w:spacing w:before="81"/>
      <w:ind w:left="910" w:hanging="450"/>
      <w:jc w:val="left"/>
    </w:pPr>
    <w:rPr>
      <w:rFonts w:ascii="宋体" w:hAnsi="宋体" w:eastAsia="宋体" w:cs="宋体"/>
      <w:kern w:val="0"/>
      <w:sz w:val="22"/>
      <w:lang w:val="zh-CN" w:bidi="zh-CN"/>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501</Words>
  <Characters>2860</Characters>
  <Lines>23</Lines>
  <Paragraphs>6</Paragraphs>
  <TotalTime>28</TotalTime>
  <ScaleCrop>false</ScaleCrop>
  <LinksUpToDate>false</LinksUpToDate>
  <CharactersWithSpaces>3355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2020-04-14T03:27:00Z</dcterms:created>
  <dc:creator>Administrator</dc:creator>
  <cp:lastModifiedBy>adminstrator</cp:lastModifiedBy>
  <cp:lastPrinted>2020-04-17T06:37:00Z</cp:lastPrinted>
  <dcterms:modified xsi:type="dcterms:W3CDTF">2021-04-30T02:55:19Z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3595380EFD984CAA84D0415CB0A5FE60</vt:lpwstr>
  </property>
</Properties>
</file>