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1740" w:tblpY="1038"/>
        <w:tblOverlap w:val="never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1"/>
        <w:gridCol w:w="1256"/>
        <w:gridCol w:w="767"/>
        <w:gridCol w:w="4667"/>
        <w:gridCol w:w="1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5" w:type="pct"/>
            <w:noWrap w:val="0"/>
            <w:vAlign w:val="center"/>
          </w:tcPr>
          <w:p>
            <w:pPr>
              <w:spacing w:line="400" w:lineRule="exact"/>
              <w:ind w:firstLine="28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序号</w:t>
            </w:r>
          </w:p>
        </w:tc>
        <w:tc>
          <w:tcPr>
            <w:tcW w:w="737" w:type="pct"/>
            <w:noWrap w:val="0"/>
            <w:vAlign w:val="center"/>
          </w:tcPr>
          <w:p>
            <w:pPr>
              <w:spacing w:line="400" w:lineRule="exact"/>
              <w:ind w:firstLine="28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评分因素</w:t>
            </w:r>
          </w:p>
          <w:p>
            <w:pPr>
              <w:spacing w:line="400" w:lineRule="exact"/>
              <w:ind w:firstLine="28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及权重</w:t>
            </w:r>
          </w:p>
        </w:tc>
        <w:tc>
          <w:tcPr>
            <w:tcW w:w="450" w:type="pct"/>
            <w:noWrap w:val="0"/>
            <w:vAlign w:val="center"/>
          </w:tcPr>
          <w:p>
            <w:pPr>
              <w:spacing w:line="400" w:lineRule="exact"/>
              <w:ind w:firstLine="28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分　值</w:t>
            </w:r>
          </w:p>
        </w:tc>
        <w:tc>
          <w:tcPr>
            <w:tcW w:w="2738" w:type="pct"/>
            <w:noWrap w:val="0"/>
            <w:vAlign w:val="center"/>
          </w:tcPr>
          <w:p>
            <w:pPr>
              <w:spacing w:line="400" w:lineRule="exact"/>
              <w:ind w:firstLine="28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评分标准</w:t>
            </w:r>
          </w:p>
        </w:tc>
        <w:tc>
          <w:tcPr>
            <w:tcW w:w="738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说    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5" w:type="pct"/>
            <w:noWrap w:val="0"/>
            <w:vAlign w:val="center"/>
          </w:tcPr>
          <w:p>
            <w:pPr>
              <w:ind w:left="-38" w:leftChars="-18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1</w:t>
            </w:r>
          </w:p>
        </w:tc>
        <w:tc>
          <w:tcPr>
            <w:tcW w:w="737" w:type="pct"/>
            <w:noWrap w:val="0"/>
            <w:vAlign w:val="center"/>
          </w:tcPr>
          <w:p>
            <w:pPr>
              <w:ind w:left="-38" w:leftChars="-18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报价 15%</w:t>
            </w:r>
          </w:p>
        </w:tc>
        <w:tc>
          <w:tcPr>
            <w:tcW w:w="450" w:type="pct"/>
            <w:noWrap w:val="0"/>
            <w:vAlign w:val="center"/>
          </w:tcPr>
          <w:p>
            <w:pPr>
              <w:ind w:left="-38" w:leftChars="-18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15分</w:t>
            </w:r>
          </w:p>
        </w:tc>
        <w:tc>
          <w:tcPr>
            <w:tcW w:w="2738" w:type="pct"/>
            <w:noWrap w:val="0"/>
            <w:vAlign w:val="center"/>
          </w:tcPr>
          <w:p>
            <w:pPr>
              <w:ind w:left="-38" w:leftChars="-18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以本次最低投标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</w:rPr>
              <w:t>报价为基准价，投标报价得分</w:t>
            </w:r>
            <w:r>
              <w:rPr>
                <w:rFonts w:hint="eastAsia" w:ascii="仿宋_GB2312" w:hAnsi="仿宋_GB2312" w:eastAsia="仿宋_GB2312" w:cs="仿宋_GB2312"/>
              </w:rPr>
              <w:t>=(基准价／投标报价)</w:t>
            </w:r>
            <w:r>
              <w:rPr>
                <w:rFonts w:hint="eastAsia" w:ascii="仿宋_GB2312" w:hAnsi="仿宋_GB2312" w:eastAsia="仿宋_GB2312" w:cs="仿宋_GB2312"/>
              </w:rPr>
              <w:t>*15</w:t>
            </w:r>
          </w:p>
        </w:tc>
        <w:tc>
          <w:tcPr>
            <w:tcW w:w="738" w:type="pct"/>
            <w:noWrap w:val="0"/>
            <w:vAlign w:val="center"/>
          </w:tcPr>
          <w:p>
            <w:pPr>
              <w:ind w:left="-38" w:leftChars="-18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5" w:type="pct"/>
            <w:noWrap w:val="0"/>
            <w:vAlign w:val="center"/>
          </w:tcPr>
          <w:p>
            <w:pPr>
              <w:ind w:left="-38" w:leftChars="-18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2</w:t>
            </w:r>
          </w:p>
        </w:tc>
        <w:tc>
          <w:tcPr>
            <w:tcW w:w="737" w:type="pct"/>
            <w:noWrap w:val="0"/>
            <w:vAlign w:val="center"/>
          </w:tcPr>
          <w:p>
            <w:pPr>
              <w:ind w:firstLine="16" w:firstLineChars="8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技术服务能力</w:t>
            </w:r>
            <w:r>
              <w:rPr>
                <w:rFonts w:hint="eastAsia" w:ascii="仿宋_GB2312" w:hAnsi="仿宋_GB2312" w:eastAsia="仿宋_GB2312" w:cs="仿宋_GB2312"/>
              </w:rPr>
              <w:t>36</w:t>
            </w:r>
            <w:r>
              <w:rPr>
                <w:rFonts w:hint="eastAsia" w:ascii="仿宋_GB2312" w:hAnsi="仿宋_GB2312" w:eastAsia="仿宋_GB2312" w:cs="仿宋_GB2312"/>
              </w:rPr>
              <w:t>%</w:t>
            </w:r>
          </w:p>
        </w:tc>
        <w:tc>
          <w:tcPr>
            <w:tcW w:w="450" w:type="pct"/>
            <w:noWrap w:val="0"/>
            <w:vAlign w:val="center"/>
          </w:tcPr>
          <w:p>
            <w:pPr>
              <w:ind w:left="-38" w:leftChars="-18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36分</w:t>
            </w:r>
          </w:p>
        </w:tc>
        <w:tc>
          <w:tcPr>
            <w:tcW w:w="2738" w:type="pct"/>
            <w:noWrap w:val="0"/>
            <w:vAlign w:val="center"/>
          </w:tcPr>
          <w:p>
            <w:pPr>
              <w:pStyle w:val="2"/>
              <w:spacing w:line="340" w:lineRule="exact"/>
              <w:ind w:firstLine="42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完全满足参数要求和供应商应具备的条件的得满分。有负偏离的，一条扣6分。扣完为止。（共6条）</w:t>
            </w:r>
          </w:p>
          <w:p>
            <w:pPr>
              <w:ind w:left="-38" w:leftChars="-18"/>
              <w:rPr>
                <w:rFonts w:hint="eastAsia" w:ascii="仿宋_GB2312" w:hAnsi="仿宋_GB2312" w:eastAsia="仿宋_GB2312" w:cs="仿宋_GB2312"/>
                <w:color w:val="000000"/>
              </w:rPr>
            </w:pPr>
          </w:p>
        </w:tc>
        <w:tc>
          <w:tcPr>
            <w:tcW w:w="738" w:type="pct"/>
            <w:noWrap w:val="0"/>
            <w:vAlign w:val="center"/>
          </w:tcPr>
          <w:p>
            <w:pPr>
              <w:ind w:left="-38" w:leftChars="-18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2" w:hRule="atLeast"/>
          <w:jc w:val="center"/>
        </w:trPr>
        <w:tc>
          <w:tcPr>
            <w:tcW w:w="335" w:type="pct"/>
            <w:noWrap w:val="0"/>
            <w:vAlign w:val="center"/>
          </w:tcPr>
          <w:p>
            <w:pPr>
              <w:ind w:left="-38" w:leftChars="-18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3</w:t>
            </w:r>
          </w:p>
        </w:tc>
        <w:tc>
          <w:tcPr>
            <w:tcW w:w="737" w:type="pct"/>
            <w:noWrap w:val="0"/>
            <w:vAlign w:val="center"/>
          </w:tcPr>
          <w:p>
            <w:pPr>
              <w:ind w:firstLine="16" w:firstLineChars="8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服务方案30%</w:t>
            </w:r>
          </w:p>
        </w:tc>
        <w:tc>
          <w:tcPr>
            <w:tcW w:w="450" w:type="pct"/>
            <w:noWrap w:val="0"/>
            <w:vAlign w:val="center"/>
          </w:tcPr>
          <w:p>
            <w:pPr>
              <w:ind w:left="-38" w:leftChars="-18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30分</w:t>
            </w:r>
          </w:p>
        </w:tc>
        <w:tc>
          <w:tcPr>
            <w:tcW w:w="2738" w:type="pct"/>
            <w:noWrap w:val="0"/>
            <w:vAlign w:val="center"/>
          </w:tcPr>
          <w:p>
            <w:pPr>
              <w:numPr>
                <w:ilvl w:val="0"/>
                <w:numId w:val="1"/>
              </w:numPr>
              <w:rPr>
                <w:rFonts w:hint="eastAsia"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 xml:space="preserve">投标人结合本项目的特点提供维修服务方案，包含但不限于技术支持方案、故障响应时间、备件更换时限、维修工具及分工等，方案要求内容完整、符合本项目需求且具有可行性，完全符合要求得20分，每有一项缺漏或不完全符合要求扣5分，扣完为止。未提供不得分。 </w:t>
            </w:r>
          </w:p>
          <w:p>
            <w:pPr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2.投标人结合本项目的应急方案，满足采购人维修要求、措施完善、应急人员配置、响应及时得10分，每缺少一项或存在缺陷或漏洞不利于实施的扣2.5分，扣完为止。</w:t>
            </w:r>
          </w:p>
        </w:tc>
        <w:tc>
          <w:tcPr>
            <w:tcW w:w="738" w:type="pct"/>
            <w:noWrap w:val="0"/>
            <w:vAlign w:val="center"/>
          </w:tcPr>
          <w:p>
            <w:pPr>
              <w:ind w:left="-38" w:leftChars="-18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5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4</w:t>
            </w:r>
          </w:p>
        </w:tc>
        <w:tc>
          <w:tcPr>
            <w:tcW w:w="737" w:type="pct"/>
            <w:noWrap w:val="0"/>
            <w:vAlign w:val="center"/>
          </w:tcPr>
          <w:p>
            <w:pPr>
              <w:ind w:left="-38" w:leftChars="-18"/>
              <w:jc w:val="center"/>
              <w:rPr>
                <w:rFonts w:hint="eastAsia"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履约能力15%</w:t>
            </w:r>
          </w:p>
        </w:tc>
        <w:tc>
          <w:tcPr>
            <w:tcW w:w="450" w:type="pct"/>
            <w:noWrap w:val="0"/>
            <w:vAlign w:val="center"/>
          </w:tcPr>
          <w:p>
            <w:pPr>
              <w:ind w:left="-38" w:leftChars="-18"/>
              <w:jc w:val="center"/>
              <w:rPr>
                <w:rFonts w:hint="eastAsia"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15分</w:t>
            </w:r>
          </w:p>
        </w:tc>
        <w:tc>
          <w:tcPr>
            <w:tcW w:w="2738" w:type="pct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2019年以来供应商有类似业绩的，每提供一份合同复印件或转账凭证的得3分，最多得15分。</w:t>
            </w:r>
          </w:p>
          <w:p>
            <w:pPr>
              <w:pStyle w:val="2"/>
              <w:rPr>
                <w:rFonts w:hint="eastAsia" w:ascii="仿宋_GB2312" w:hAnsi="仿宋_GB2312" w:eastAsia="仿宋_GB2312" w:cs="仿宋_GB2312"/>
                <w:color w:val="000000"/>
              </w:rPr>
            </w:pPr>
          </w:p>
        </w:tc>
        <w:tc>
          <w:tcPr>
            <w:tcW w:w="738" w:type="pct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1" w:hRule="atLeast"/>
          <w:jc w:val="center"/>
        </w:trPr>
        <w:tc>
          <w:tcPr>
            <w:tcW w:w="33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38" w:leftChars="-18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5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38" w:leftChars="-18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响应文件的规范性4%</w:t>
            </w:r>
          </w:p>
        </w:tc>
        <w:tc>
          <w:tcPr>
            <w:tcW w:w="45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38" w:leftChars="-18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4分</w:t>
            </w:r>
          </w:p>
        </w:tc>
        <w:tc>
          <w:tcPr>
            <w:tcW w:w="27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38" w:leftChars="-18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文件制作规范，没有细微偏差情形的得4分；有一项细微偏差扣1分，直至该项分值扣完为止。</w:t>
            </w:r>
          </w:p>
        </w:tc>
        <w:tc>
          <w:tcPr>
            <w:tcW w:w="7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38" w:leftChars="-18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ind w:left="-38" w:leftChars="-18"/>
              <w:rPr>
                <w:rFonts w:hint="eastAsia" w:ascii="仿宋_GB2312" w:hAnsi="仿宋_GB2312" w:eastAsia="仿宋_GB2312" w:cs="仿宋_GB2312"/>
              </w:rPr>
            </w:pPr>
          </w:p>
        </w:tc>
      </w:tr>
    </w:tbl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特检科彩超维修评分标准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059B5E9"/>
    <w:multiLevelType w:val="singleLevel"/>
    <w:tmpl w:val="7059B5E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076E46"/>
    <w:rsid w:val="07076E46"/>
    <w:rsid w:val="606040E3"/>
    <w:rsid w:val="63405D45"/>
    <w:rsid w:val="6ACC7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2021-06-22T09:21:00Z</dcterms:created>
  <dc:creator>adminstrator</dc:creator>
  <cp:lastModifiedBy>adminstrator</cp:lastModifiedBy>
  <dcterms:modified xsi:type="dcterms:W3CDTF">2021-06-22T09:41:09Z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49EC9F99A4FA40CCA787B1680B4F987E</vt:lpwstr>
  </property>
</Properties>
</file>