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两区手术室净化空调系统年度维修保养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竞选</w:t>
      </w:r>
      <w:r>
        <w:rPr>
          <w:rFonts w:hint="eastAsia" w:ascii="方正小标宋简体" w:hAnsi="方正小标宋简体" w:eastAsia="方正小标宋简体" w:cs="方正小标宋简体"/>
          <w:b w:val="0"/>
          <w:bCs/>
          <w:sz w:val="44"/>
          <w:szCs w:val="44"/>
          <w:lang w:val="en-US" w:eastAsia="zh-CN"/>
        </w:rPr>
        <w:t>公告</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维保概况及目的</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1、为确保我院两区手术室的净化空调系统及附带强弱电控制系统，始终处于良好的运行状态。并按照洁净</w:t>
      </w:r>
      <w:r>
        <w:rPr>
          <w:rFonts w:hint="eastAsia" w:ascii="仿宋_GB2312" w:hAnsi="仿宋_GB2312" w:eastAsia="仿宋_GB2312" w:cs="仿宋_GB2312"/>
          <w:bCs/>
          <w:sz w:val="32"/>
          <w:szCs w:val="32"/>
        </w:rPr>
        <w:t>手术室</w:t>
      </w:r>
      <w:r>
        <w:rPr>
          <w:rFonts w:hint="eastAsia" w:ascii="仿宋_GB2312" w:hAnsi="仿宋_GB2312" w:eastAsia="仿宋_GB2312" w:cs="仿宋_GB2312"/>
          <w:sz w:val="32"/>
          <w:szCs w:val="32"/>
        </w:rPr>
        <w:t>的七大洁净指标(温湿度、风速或换气次数、噪声、压差、照度、尘埃粒子)符合《医院洁净手术部建筑技术规范》GB50333-2002标准、《医院空气净化管理规范》WS/T 368-2012及《手术部医院感染预防与控制技术规范》标准等，以保障我院两区手术工作的正常开展。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2、维修保养时间1年（具体时间以签订合同为准）。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3、此次维修保养服务限价为人民币：16万。</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维保服务标准及保证</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严格按照国家相关规范及设备厂家维护保养手册</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1、安全保证：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维保期内，保证所维护保养的设备设施安全正常运行。对操作人员有培训和监督执行操作规定的责任。</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2、质量保证: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2.1保证设备设施处于安全正常状态。每季度提前向甲方提交保养预排表，内容要包含区间位置、保养时段等，以便提前安排工作。日常保养时间由甲方根据实际情况决定，保养工作时间内不能时间过长，错开使用高峰时间，尽量安排在夜间或周末等手术较少的时段进行。每月对维保范围内的设备设施进行专业的维护保养，按月、季度、年度检查要落实并有相关记录。</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2.2配合医院对每间手术室、辅助用房应建立维保档案，对原始技术资料、维保记录、修理记录、零件更换记录进行登记管理。要从设备设施长期可持续安全运行的角度出发，进行组织计划维修工作。保证洁净手术室的技术指标达到相应的要求。负责联系检测机构前来检测，并通过相关检测机构净化检测达到合格要求（检测费用由院方负责），未合格检测费由用维保单位负责。</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3、技术力量保证: </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派遣有能力维修工程师负责该项目，并能熟练处理各种故障维修、保养及提供设备管理服务。如遇院方有重大活动或业务开展时，应根据院方要求加大现场的监护力度。维保方必须配备有专业工具和检测仪器：尘埃粒子计数仪、温湿度仪、风速仪、压差仪等。其间如因为安全、文明、规范操作给院方人员及其他人员造成的一切不良后果，均由维保方及当事人承担相关责任。</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4、维保制度保证</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4.1、明确对该项目维保管理人员的岗位职责和定期业务学习与培训制度。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4.2、巡回检查制度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4.3、维护和保养制度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4.4、检测与修理制度和运行与检修记录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三、维保具体工作内容：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内江市第一人民医院两区住院部手术室具体维护维保的工作内容包括：</w:t>
      </w:r>
      <w:r>
        <w:rPr>
          <w:rFonts w:hint="eastAsia" w:ascii="仿宋_GB2312" w:hAnsi="仿宋_GB2312" w:eastAsia="仿宋_GB2312" w:cs="仿宋_GB2312"/>
          <w:b/>
          <w:sz w:val="32"/>
          <w:szCs w:val="32"/>
        </w:rPr>
        <w:t>风冷热泵空调主机3台、模块机空调1台、空调水系统、洁净空调系统、新风系统、新风机组（柜）、控制系统等设施及设备</w:t>
      </w:r>
      <w:r>
        <w:rPr>
          <w:rFonts w:hint="eastAsia" w:ascii="仿宋_GB2312" w:hAnsi="仿宋_GB2312" w:eastAsia="仿宋_GB2312" w:cs="仿宋_GB2312"/>
          <w:sz w:val="32"/>
          <w:szCs w:val="32"/>
        </w:rPr>
        <w:t>。</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1、空调机组维保内容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1.1风冷热泵机组年度维保：</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a检查机组制冷剂的充注量，检查接口是否存在泄漏，对有泄漏的机组应该查出漏点进行有效处理，必要时转移制冷剂，对蒸发器进行加氮加压检漏，处理漏点后抽湿抽真处理并保负压。对制冷不足的机组进行充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1.1b 检查冷冻油量、油色、必要时更换冷冻机油并清理油腔。检查机组运行时的油压，检查油过滤器，必要时进行更换。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1.1c 检查机组干燥过滤器，必要时进行更换。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1.1d 检测机组压缩机电机、电磁阀线圈、冷凝器风机电机的绝缘情况，检查各电磁阀的工作情况。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1.1e 检查清理控制柜，检查各接触器、继电器、检查各接线端。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1.1f检测机组控制保护装置的运行情况；根据运行情况对控制系统进行调整。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1.1g 检查冷凝器风机电机轴承，进行加油润滑。</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1.1h 检查冷冻水泵运行情况，并加油润滑。</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1.1i 检查冷凝器翅片的积尘情况，必要时进行清洗或更换翅片。</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1.1j 建立设备维保档案，填写设备维修保养记录卡；呈交以上所有项目的年度维保工作报告书。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1.2、热泵机组每月定期保养内容：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1.2a 检查冷冻油的润滑情况是否正常。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1.2b 制冷剂循环系统检查：检查机组吸气压力、制冷剂蒸发温度是否正常；检查机组排气压力、排气温度和制冷剂冷凝温度是否正常。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1.2c 水系统检查：检查冷冻水进出水压力、压差及温度、温差是否在正常范围。各压力表、温度表是否正常，必要时对其更换。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1.2d 检查冷冻水泵运行情况。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1.2e 检查机组各保护控制装置并对各保护参数进行校对、调整。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1.2f 检查压缩机电机、室内外风机电机的运行情况，并检测其线圈绝缘情况。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1.2g 检查机组各电磁阀、膨胀阀的运行情况。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1.2h 检查并清理电路的各接触器、继电器及微电脑控制系统。</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1.2i 检查冷凝风机运转情况，检查及清理翅片积尘。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1.2j 检查校正各控制设定值。</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1.2k 检查机组压缩机电机的工作电压、电流及工作温度是否正常。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1.2l 对机组及控制元件进行外观检查。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1.2m建立设备维保档案，填写设备维修保养记录卡；呈交以上所有项目的月度维保工作报告书。</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2、净化组合式空调机组（风柜）维保内容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2.1  净化组合式空调机组的年度保养内容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2.1a检查风机电机轴承运行情况，添加润滑油，必查时进行更换。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2.1b检查风机电机绝缘情况；检查风机电源及各接线端。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2.1c检查并调整风机皮带，必要时进行更换。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2.1d检查、调整风机的运转使不产生不正常的震动及噪音。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2.1e检查柜体表面，做好防腐处理；检查吊架情况，使风柜安装良好。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2.1f用专业清洁剂清洗风柜内表面、散热翅片；清理风机叶轮、凝水盘。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2.1g检查机组换热情况，检查阀门管道的堵塞情况，必要时进行换热管道的疏通清洗工作。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2.1h检查电极加湿器的工作状态、加湿量与信号模量的比例关系是否正常。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2.1i检查加湿器桶内的结垢情况和电极的腐蚀状态，必要时需要进行更换。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2.1j检查比例积分阀的运行情况。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2.1k检查机组保温情况，避免冷凝漏水。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2.1l检查机组内的初、中、亚高效、高效过滤器的工作情况，如过滤器的阻力偏高或有破损的情况，应立即书面报告院方，由院方负责进行更换。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2.1m建立设备维保档案，填写设备维修保养记录卡；呈交以上所有项目的年度维护工作报告书。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2.2、净化组合式空调机组的月度保养内容：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2.2a检查风机电机轴承运行情况，添加润滑油，必查时进行更换。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2.2b检查风机电机绝缘情况；检查电机电源及各接线端是否松动、电机各相电流。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2.2c检查并调整风机皮带松紧程度，必要时进行更换。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2.2d检查、调整风机的运转使之不产生不正常的震动及噪音。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2.2e检查柜体表面，做好防腐处理；检查机架情况，使风柜安装良好。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2.2f用专业清洁剂清洗风柜内表面、散热翅片；清理风机叶轮、凝水盘。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2.2g检查机组换热情况，检查阀门管道的堵塞情况，必要时进行换热管道的疏通清洗工作。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2.2h检查电极加湿器的工作状态、加湿量与信号模量的比例关系是否正常，桶内的水位情况，排水是否通畅，相间电流是否平衡？并及时维护。</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2.2i检查加湿器桶内的结垢情况和电极的腐蚀状态，必要时需要进行更换。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2.2j检查比例积分阀的运行情况。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2.2k检查机组保温情况并及时修复，避免冷凝漏水。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2.2l检查机组内的初中、效过滤器、亚高效过滤器的工作情况，如过滤器的阻力偏高或有破损的情况，应立即进行更换。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2.2m检查机组内杀菌装置是否正常，如有损坏应立即更换。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2.2n每半年清洁一次热交换器的翅片，肋片有压倒的要用弛梳梳好。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2.2o建立设备维保档案，填写设备维修保养记录卡；呈交以上所有项目的月度维护工作报告书。</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3、新、排风机的维保内容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3.1、新、排风机的年度保养工作内容：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3.1a检查风机电机轴承运行情况，添加润滑油，必要时进行更换。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3.1b检查风机电机绝缘情况；检查风机电源及各接线端。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3.1c检查风机的运转电流是否正常。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3.1d检查风机表面，做好防腐处理；检查吊架情况，使风柜安装良好。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3.1e清理风机叶轮，按要求加注润滑油脂，使设备润滑良好。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3.1f检查、调整风机的运转使不产生不正常的震动及噪音。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3.1g建立设备维保档案，填写设备维修保养记录卡；呈交以上所有项目的年度维护工作报告书。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3.2排风机的月度保养内容：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3.2a检查风机电机轴承运行情况，按要求加注润滑油脂，使设备润滑良好。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3.2b检查风机电机绝缘情况。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3.2c检查、调整风机的运转使不产生不正常的震动及噪音。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3.2d建立设备维保档案，填写设备维修保养记录卡；呈交以上所有项目的月度维护工作报告书。</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4、空调水泵年度保养内容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4.1空调水泵年度保养工作内容：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4.1a检测轴承及泵叶的磨损程度；检查轴承温度及是否存在异响，必要时进行更换；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4.1b按要求加注润滑油脂，使设备润滑良好。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4.1c检查联轴器急轮胶的震动及磨损情况，必要时进行更换；校正对轴性使水泵电机达到运转平衡。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4.1d检查水泵运行时是否有漏水现象，必要时调整密封或更换。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4.1e检测电机的绝缘电阻；检查水泵启动柜的各个开关、接触器、接线端、触点、电压表、电流表的工作情况，进行去尘、清理、加固等必要保养工作。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4.1f检查各阀门、止回阀、水锤汲纳器、软接、Y型过滤器等附件的运行性能，并进行保养调整；检测、校对各温度表、压力表。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4.1g检查水泵的运转电压与运转电流是否正常；检查水泵运转时的进出水压力是否正常。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4.1h检查水泵外观、对机体、支座支架除锈并作防锈处理。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4.1i建立设备维保档案，填写设备维修保养记录卡；呈交以上所有项目的年度维保工作报告书。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4.2 空调水泵月保养内容：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4.2a检查轴承温度及是否存在异响，必要时进行更换；按要求加注润滑油脂，使设备润滑良好。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4.2b检查联轴器急轮胶的震动及磨损情况，必要时进更换；校正对轴性使水泵电机达到运转平衡。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4.2c检查各阀门、止回阀、水锤吸纳器、软接、Y型过滤器等附件的运行性能，并进行保养调整；检测、校对各温度表、压力表。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4.2d检查水泵运行时是否有漏水现象，必要时调整密封或更换。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4.2e建立设备维保档案，填写设备维修保养记录卡；呈交以上所有项目的季度维保工作报告书。</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5、空调冷热水系统维保内容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5.1检查冷却水是否清洁，若不清洁应全部更换和管道加药除水垢；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5.2检查膨胀水箱补水浮球阀是否正常；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5.3检查系统阀门有无渗漏，并进行修复，必要时需更换。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5.4水系统中的水过滤器要三个月拆开清洁一次。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5.4半年检查一次水管保温层或保护层，脱落或破损的要补好，开胶的要重新粘好。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5.5检查系统中压差调节阀是否正常。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5.6膨胀水箱内要一年清洁一次，并对箱体及钢结构基座进行一次除锈刷漆；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5.7一年检查一次水管系统的支撑构件，损坏的要修复，松动的要紧固，锈腐的要除锈刷漆。</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6、净化空调风循环系统维保内容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6.1定期检查风管道与设备间的软连接是否紧密和有无破损的情况，如有松动应及时紧固，必要时应进行更换。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6.2定期清洗新风机组、循环机组的初中效过滤器、回风口、排风口并进行记录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6.3定期进行中效压差检查，及时更换风阻超过要求及破损的过滤器。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6.4定期对风量阀、定风量阀及手动阀的检查、维护。对动作不灵的要修理或更换各组件,各种风阀检查密封性、灵活性、稳固性和开启的准确性,及时进行润滑和堵漏保养。</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6.5每月应对手术室及辅助房的回风口检查一次，对初、中效过滤器等易耗品，根据检查情况以书面形式报于院方。由院方负责购买更换。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6.6每月应对手术室及辅助房的排风口清洗一次，对初、中效过滤器等易耗品，根据检查情况以书面形式报于院方。由院方负责购买更换。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6.7检查风管绝热层，如有超温、老化、破损须及时修补或更换；并积极作好保温材料的维护。</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6.8检查送排静压箱及送风装置，静压箱应密封严密，保温良好，口面风速均匀合理。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6.9系统的支吊构件检查、修复、除锈刷漆 支吊构件必须牢固，及时修复和紧固。锈蚀的要除锈刷漆处理。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6.10定期检查高效过滤器的密封口处是否漏风和过滤器的是否破损，并根据高效过滤器的阻力判断是否需要更换。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6.11每次更换过滤器时，应对静压箱的内表面进行清洁。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6.12检查净化空调风管道的清洁程度，应对相应标准检查记录，如需大范围清洁要产生费用，需书面报甲方，由甲方负责。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7、强弱电系统维保内容</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7.1检查空调控制系统、温、湿度显示器系统的正常工作。</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检查监控器显示值与设定值的符合性，包括各区的正压值、梯度监控记录；远控面板控制开关灵活，接触器无打火现象，接线端子牢固，电路板无尘。及时分析报警记录、处置与报告，尽早发现运行中的各种异常或事故，做出趋势分析和降低潜在的风险。</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定期检查及修复弱电系统管线，保证线管完整、牢固、线路整洁，杜绝鼠类进入线管或桥架。定期检测电路绝缘性，紧固接线头，应保持接触牢固并做好线路的保养工作。</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定期清洁设备层，确保室内无积水，钢结构无锈，新风口保持清洁、牢固，做到机房内干燥、通风、清洁、无灰尘、异物。</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8、空调机组给排水部分维保内容</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8.1定期对给水系统压力检查；</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8.2定期对各排水管进行检查，避免堵塞和作好疏通；</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8.3定期对各阀门的性能检查；</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8.4对各损坏部件维修，必要时需及时报备更换。</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9、监测、检测</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9.1每月对洁净手术部的正负压力进行监测并记录；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9.2每半年对洁净手术部进行一次尘埃粒子的监测，监控高效过滤器的使用状况并记录；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四、维保配置与应急处理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1、人员要求</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项目负责人：主要负责该项目服务的管理，服务人员的安排，以及该项目的应急措施的工作。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维护人员：主要负责该该项目日常维保服务，设备性能的技术分析鉴定，设备日常维保报告，以及该项目设备的应急措施的维修工作。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2、建立维保档案</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A、确定设备日常维保内容，建立设备日常维保档案。对每次设备日常维保内容进行详细记录。并提交给用户。</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B、对日常维护的设备的性能应进行技术分析，以便确定该设备或配件是否需要进行维修、更换，同时将技术分析报告，维修费用报告提交给用户。</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3、常用配件的库存和工具的备用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A、为了确保该项目的服务及时性和设备的正常运行，在对该项目的设备进行调查了解后，对那些易损配件应进行同等型号、规格零配件库存。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B、确保该项目的服务工具、检查仪器在任何时间均能正常使用，同时作好工具的备用工作。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4、维保维修的及时处置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故障所需更换的零部件（除压缩机、水泵、电机、水阀、查漏加氟等修复时间较长的其它零部件）易损件1小时内更换并恢复；常规类较大型的维修1-3天内更换并恢复；压缩机、空调系统、控制系统等检查修复时间较长的1-7天内更换并恢复；</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5、建立突发事故的应急处理机制</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在收到现场维保人员的信息后，项目负责人应根据信息描述，立即召集相关工程技术人员成立应急小组，对产生的事故原因进行分析，并拿出解决事故的初步方案；同时派遣技术人员在两小时内赶到现场，根据初步方案对故事设备进行控制或维修。应急小组在最短的时间内拿出最终解决事故方案、解决事故的时间、解决事故的费用；并及时提交用户。维修完成后，及时提交维修报告与用户。</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五、运行管理 巡查规范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1、人员管理严格执行国家《GB50333-2002》规范，定职技能符合医院维护管理要求。</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2、档案管理定期监测记录完整档案归档归纳监测报告，乙方、医院管理部门各保留壹份。</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3、质量管理层流效果检查每天可通过净化自控系统进行机组监控并记录，发现问题及时解决；</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4、对临时的维护、修理任务应做好充分的准备工作，并对临时的修理任务做好记录。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5、对每月或每季维护、保养的设备有重大的质量隐患要以书面的形式立即报告医院的管理科室。</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6、更换材料记录表及售后服务回访记录表等资料，由使用科室或管理科室确认。每年质保到期后，对维保状况做年终总结报告到相关部门。</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六、资质要求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2、供应商必须具有履行合同所必需的设备和专业技术能力；</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3、供应商必须具备相关法律、行政法规规定的其他条件；</w:t>
      </w:r>
      <w:r>
        <w:rPr>
          <w:rFonts w:hint="eastAsia" w:ascii="仿宋_GB2312" w:hAnsi="仿宋_GB2312" w:eastAsia="仿宋_GB2312" w:cs="仿宋_GB2312"/>
          <w:b/>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4、供应商应具有良好的商业信誉，没有处于被责令停业,财产被接管、冻结破产状态。</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6、参加采购活动前三年内，在经营活动中没有重大违法记录；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7、本项目不接受联合体竞选；</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8、本项目规定的其他要求。</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七、投递竞选书及参竞要求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 xml:space="preserve"> ★1、根据国家疫情防控要求，处于中高风险地区的供应商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★3、由于维护设备地点分别位于我院两区住院楼内。根据疫情防控管理要求，到场踏堪人员</w:t>
      </w:r>
      <w:r>
        <w:rPr>
          <w:rFonts w:hint="eastAsia" w:ascii="仿宋_GB2312" w:hAnsi="仿宋_GB2312" w:eastAsia="仿宋_GB2312" w:cs="仿宋_GB2312"/>
          <w:b/>
          <w:sz w:val="32"/>
          <w:szCs w:val="32"/>
        </w:rPr>
        <w:t>必须提供48小时内核酸检测证明</w:t>
      </w:r>
      <w:r>
        <w:rPr>
          <w:rFonts w:hint="eastAsia" w:ascii="仿宋_GB2312" w:hAnsi="仿宋_GB2312" w:eastAsia="仿宋_GB2312" w:cs="仿宋_GB2312"/>
          <w:sz w:val="32"/>
          <w:szCs w:val="32"/>
        </w:rPr>
        <w:t>后才能进入现场。</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必须提供48小时内核酸检测证明、疫情防控行程绿码</w:t>
      </w:r>
      <w:r>
        <w:rPr>
          <w:rFonts w:hint="eastAsia" w:ascii="仿宋_GB2312" w:hAnsi="仿宋_GB2312" w:eastAsia="仿宋_GB2312" w:cs="仿宋_GB2312"/>
          <w:sz w:val="32"/>
          <w:szCs w:val="32"/>
        </w:rPr>
        <w:t>后方能入场，并现场递交竞选文件，竞选全程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5、竞选所报价格必须包括维修、安装、调试、人工、应急服务、含税等；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★7、供应商须仔细阅读附件一内容</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八、竞选时间</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2022年1月5日上午10时。</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九、开选地点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十、评选标准</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根据报价、公司资质、人员技术类别、服务能力等进行综合评比。</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 黎</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附：供应商须知、现场踏堪证明、竞选评分细则</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FF0000"/>
          <w:sz w:val="24"/>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bookmarkStart w:id="1" w:name="_GoBack"/>
      <w:bookmarkEnd w:id="1"/>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附件一：</w:t>
      </w:r>
    </w:p>
    <w:p>
      <w:pPr>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b/>
          <w:bCs/>
          <w:sz w:val="32"/>
          <w:szCs w:val="32"/>
        </w:rPr>
      </w:pPr>
      <w:bookmarkStart w:id="0" w:name="_Toc29471"/>
      <w:r>
        <w:rPr>
          <w:rFonts w:hint="eastAsia" w:ascii="仿宋_GB2312" w:hAnsi="仿宋_GB2312" w:eastAsia="仿宋_GB2312" w:cs="仿宋_GB2312"/>
          <w:b/>
          <w:bCs/>
          <w:sz w:val="32"/>
          <w:szCs w:val="32"/>
        </w:rPr>
        <w:t>供应商须知</w:t>
      </w:r>
      <w:bookmarkEnd w:id="0"/>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一、适用范围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    本竞选文件的最终解释权归内江市第一人民医院所有。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 xml:space="preserve">二、供应商的条件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kern w:val="0"/>
          <w:sz w:val="32"/>
          <w:szCs w:val="32"/>
        </w:rPr>
        <w:t xml:space="preserve">符合“两区手术室净化空调系统年度维修保养竞选”第六条规定的条件；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三、竞选费用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无论竞选采购的结果如何，供应商自行承担所有参加竞选活动有关的全部费用。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四、响应文件</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 xml:space="preserve">（一）响应文件的语言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 xml:space="preserve">（二）联合体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本项目不接受联合体参与竞选。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（三）响应文件提供的证明材料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1.响应文件的组成： </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1.1评分要素索引表；</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1.2报价单；</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1.3法定代表人授权委托书；</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1.4承诺函；</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1.5技术应答表及商务要求应答表；</w:t>
      </w:r>
    </w:p>
    <w:p>
      <w:pPr>
        <w:pStyle w:val="2"/>
        <w:keepNext w:val="0"/>
        <w:keepLines w:val="0"/>
        <w:pageBreakBefore w:val="0"/>
        <w:kinsoku/>
        <w:wordWrap/>
        <w:overflowPunct/>
        <w:topLinePunct w:val="0"/>
        <w:autoSpaceDE/>
        <w:autoSpaceDN/>
        <w:bidi w:val="0"/>
        <w:adjustRightInd/>
        <w:snapToGrid/>
        <w:spacing w:line="560" w:lineRule="exact"/>
        <w:ind w:left="420" w:firstLine="42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1.6实施及服务方案；</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1.7对应综合评分表具体要求提供能够提供的相关承诺或证明材料如未提供也不影响供应商响应文件的有效性）； </w:t>
      </w:r>
    </w:p>
    <w:p>
      <w:pPr>
        <w:pStyle w:val="2"/>
        <w:keepNext w:val="0"/>
        <w:keepLines w:val="0"/>
        <w:pageBreakBefore w:val="0"/>
        <w:kinsoku/>
        <w:wordWrap/>
        <w:overflowPunct/>
        <w:topLinePunct w:val="0"/>
        <w:autoSpaceDE/>
        <w:autoSpaceDN/>
        <w:bidi w:val="0"/>
        <w:adjustRightInd/>
        <w:snapToGrid/>
        <w:spacing w:line="560" w:lineRule="exact"/>
        <w:ind w:left="42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1.8其他有利于采购人或者供应商认为需要提供的文件和资料（如未提供也不影响供应商响应文件的有效性）。</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注：1、响应文件所需提供的全部证明材料内容均须有效； </w:t>
      </w:r>
    </w:p>
    <w:p>
      <w:pPr>
        <w:keepNext w:val="0"/>
        <w:keepLines w:val="0"/>
        <w:pageBreakBefore w:val="0"/>
        <w:widowControl/>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2、以上每页资料必须逐页加盖公司鲜章并加盖骑缝章。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（四）响应文件编制、签署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响应文件一式 3 份（其中正本 1 份、副本 2 份）,响应文件封面上标注“正本”、 “副本”字样，注明项目、项目名称和供应商名称。</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供应商应在仔细阅读竞选方案内容的基础上编制针对本项目的响应文件。</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若正本与副本内容出现差异时，则以正本为准；副本可用正本的复印件。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响应文件正本必须使用不褪色、不变质的墨水书写或打印,并在规定签章处逐一签字和加盖公章，其响应单位加盖公章应为鲜章，签署、盖章和内容应完整、有效，</w:t>
      </w:r>
      <w:r>
        <w:rPr>
          <w:rFonts w:hint="eastAsia" w:ascii="仿宋_GB2312" w:hAnsi="仿宋_GB2312" w:eastAsia="仿宋_GB2312" w:cs="仿宋_GB2312"/>
          <w:b/>
          <w:bCs/>
          <w:color w:val="000000"/>
          <w:kern w:val="0"/>
          <w:sz w:val="32"/>
          <w:szCs w:val="32"/>
        </w:rPr>
        <w:t>未按要求加盖公章、骑缝章视为无效响应。</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响应文件应统一使用 A4 幅面纸印制，逐页编目编码以方便评审小组查阅。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 xml:space="preserve">（五）响应文件的密封和标注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供应商应将其响应文件用密封袋密封，并在封口处加盖单位公章；若不满足以上要求，将有可能拒收其响应文件。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在密封袋封面上注明项目名称、编号、供应商名称、及“响应文件”字样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如果未按前款规定密封和标记，采购人对响应文件的误投或提前拆封不负责任。对由此造成提前开封的响应文件，采购人将予以拒绝，并退回供应商。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（六）响应文件的递交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根据竞选时间现场提交</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（七）评审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1.本项目评审方法为：综合评分法。综合评分法是指响应文件满足竞选文件全部资格、技术要求且评分最高的供应商为中选候选人的评审方法；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2.内江市第一人民医院对未中选原因不作解释，且提交的所有响应文件均不退回。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（八）评定程序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 接收响应文件 </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2.评审小组对响应文件进行初步资格审查，初审不合格的按照无效响应文件处理，初审具体内容如下：</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2.1响应文件未按照响应文件编制要求编制；</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2.2响应文件中的资料未加盖供应商单位的公章；</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2.3响应文件中法定代表人、委托代理人未签字；</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2.4报价若高于最高限价；</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2.5本竞选文件</w:t>
      </w:r>
      <w:r>
        <w:rPr>
          <w:rFonts w:hint="eastAsia" w:ascii="仿宋_GB2312" w:hAnsi="仿宋_GB2312" w:eastAsia="仿宋_GB2312" w:cs="仿宋_GB2312"/>
          <w:b/>
          <w:bCs/>
          <w:color w:val="000000"/>
          <w:kern w:val="0"/>
          <w:sz w:val="32"/>
          <w:szCs w:val="32"/>
        </w:rPr>
        <w:t>第六点、第七点</w:t>
      </w:r>
      <w:r>
        <w:rPr>
          <w:rFonts w:hint="eastAsia" w:ascii="仿宋_GB2312" w:hAnsi="仿宋_GB2312" w:eastAsia="仿宋_GB2312" w:cs="仿宋_GB2312"/>
          <w:color w:val="000000"/>
          <w:kern w:val="0"/>
          <w:sz w:val="32"/>
          <w:szCs w:val="32"/>
        </w:rPr>
        <w:t>要求提供的资格要求证明材料。</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针对通过初步审查的供应商，评审小组按照评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4.在采购过程中符合要求的供应商或者报价未超过采购预算的供应商不足3家的，内江市第一人民医院将视具体情况继续采购活动；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5.内江市第一人民医院将向中选供应商发出中选通知书及合同，中选供应商在中选公告发出后3日内，按照本竞选文件拟定合同并传至的邮箱：2059632530@qq.com。格式为：“中选供应商名称+项目名称合同”；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6. 供应商应当书面澄清、说明或者更正</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sectPr>
          <w:footerReference r:id="rId3" w:type="default"/>
          <w:pgSz w:w="11906" w:h="16838"/>
          <w:pgMar w:top="1440" w:right="1803" w:bottom="1440" w:left="1803" w:header="0" w:footer="567" w:gutter="0"/>
          <w:pgNumType w:start="1"/>
          <w:cols w:space="720" w:num="1"/>
          <w:docGrid w:linePitch="312" w:charSpace="0"/>
        </w:sectPr>
      </w:pPr>
      <w:r>
        <w:rPr>
          <w:rFonts w:hint="eastAsia" w:ascii="仿宋_GB2312" w:hAnsi="仿宋_GB2312" w:eastAsia="仿宋_GB2312" w:cs="仿宋_GB2312"/>
          <w:color w:val="000000"/>
          <w:kern w:val="0"/>
          <w:sz w:val="32"/>
          <w:szCs w:val="32"/>
        </w:rPr>
        <w:t>7.在评审过程中，供应商响应文件实质性符合竞选文件要求的前提下，评审小组对响应文件中含义不明确、同类问题表述不一致或者有明显文字和计算错误的内容，应当以书面形式要求供应商作出必要的书面澄清、说明或者更正，并给予供应商必要的反馈时间。</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附件二：</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tbl>
      <w:tblPr>
        <w:tblStyle w:val="7"/>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c>
          <w:tcPr>
            <w:tcW w:w="2798"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c>
          <w:tcPr>
            <w:tcW w:w="1984"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c>
          <w:tcPr>
            <w:tcW w:w="241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keepNext w:val="0"/>
        <w:keepLines w:val="0"/>
        <w:pageBreakBefore w:val="0"/>
        <w:kinsoku/>
        <w:wordWrap/>
        <w:overflowPunct/>
        <w:topLinePunct w:val="0"/>
        <w:autoSpaceDE/>
        <w:autoSpaceDN/>
        <w:bidi w:val="0"/>
        <w:adjustRightInd/>
        <w:snapToGrid/>
        <w:spacing w:line="560" w:lineRule="exact"/>
        <w:ind w:right="420" w:firstLine="5600" w:firstLineChars="20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tbl>
      <w:tblPr>
        <w:tblStyle w:val="7"/>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89"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c>
          <w:tcPr>
            <w:tcW w:w="2798"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c>
          <w:tcPr>
            <w:tcW w:w="1984"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c>
          <w:tcPr>
            <w:tcW w:w="241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keepNext w:val="0"/>
        <w:keepLines w:val="0"/>
        <w:pageBreakBefore w:val="0"/>
        <w:kinsoku/>
        <w:wordWrap/>
        <w:overflowPunct/>
        <w:topLinePunct w:val="0"/>
        <w:autoSpaceDE/>
        <w:autoSpaceDN/>
        <w:bidi w:val="0"/>
        <w:adjustRightInd/>
        <w:snapToGrid/>
        <w:spacing w:line="560" w:lineRule="exact"/>
        <w:ind w:right="420" w:firstLine="5600" w:firstLineChars="20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8"/>
          <w:szCs w:val="28"/>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8"/>
          <w:szCs w:val="28"/>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附件三：</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内江市第一人民医院</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两区手术室净化空调系统年度维保服务竞选评分细则</w:t>
      </w:r>
    </w:p>
    <w:tbl>
      <w:tblPr>
        <w:tblStyle w:val="7"/>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项目</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单项分值</w:t>
            </w:r>
          </w:p>
        </w:tc>
        <w:tc>
          <w:tcPr>
            <w:tcW w:w="666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评分内容</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评审因素</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报价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以满足竞选文件要求且竞选价格最低的竞选报价为基准价，竞选报价分值=（基准价÷竞选报价）×20（保留两位小数）</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共同评审</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维保维护服务的实施方案30%</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30分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1、实施方案能高于竞选项目要求的得20分：实施方案能满足项目得15分；实施方案低于项目需求的得10分；不能满足项目需求的此项得0分。此项最高20分。</w:t>
            </w:r>
          </w:p>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2、实施方案中有对用户的响应以及与用户的沟通和联系等内容能高于项目需求的得10分：满足项目的需求的得8分；低于项目需求的得6分；不能满足项目需求的得0分。此项最高10分。</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服务20%</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rPr>
              <w:t>1、在项目所在地设置有固定维修点得15分：（只设有24小时固定服务电话只得5分;只设有移动电话的应急响应服务电话只</w:t>
            </w:r>
            <w:r>
              <w:rPr>
                <w:rFonts w:hint="eastAsia" w:ascii="仿宋_GB2312" w:hAnsi="仿宋_GB2312" w:eastAsia="仿宋_GB2312" w:cs="仿宋_GB2312"/>
                <w:sz w:val="24"/>
                <w:lang w:val="en-US" w:eastAsia="zh-CN"/>
              </w:rPr>
              <w:t>得</w:t>
            </w:r>
            <w:r>
              <w:rPr>
                <w:rFonts w:hint="eastAsia" w:ascii="仿宋_GB2312" w:hAnsi="仿宋_GB2312" w:eastAsia="仿宋_GB2312" w:cs="仿宋_GB2312"/>
                <w:sz w:val="24"/>
              </w:rPr>
              <w:t>5分；只设有24小时服务投诉电话只得3分；只设有移动服务投诉电话的只得2分）；此项最高15分。（</w:t>
            </w:r>
            <w:r>
              <w:rPr>
                <w:rFonts w:hint="eastAsia" w:ascii="仿宋_GB2312" w:hAnsi="仿宋_GB2312" w:eastAsia="仿宋_GB2312" w:cs="仿宋_GB2312"/>
                <w:color w:val="FF0000"/>
                <w:sz w:val="24"/>
              </w:rPr>
              <w:t>本项目需提供相关证明材料）</w:t>
            </w:r>
          </w:p>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2、紧急服务响应时间优于竞选要求的得5分，符合竞选要求的得3分；不符的得0分；此项最高5分。</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履约能力8%</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8分</w:t>
            </w:r>
          </w:p>
        </w:tc>
        <w:tc>
          <w:tcPr>
            <w:tcW w:w="6662" w:type="dxa"/>
          </w:tcPr>
          <w:p>
            <w:pPr>
              <w:pStyle w:val="2"/>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供应商具有中国国家认证认可监督管理委员会网站查询的设备维护保养认证证书的得5分。（提供有效的证书复印件以及国家认证认可信息公共服务平台查询截图并加盖供应商公章）</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根据供应商提供类似公共场所的项目业绩（2019至今）进行评定，每提供一个类似项目业绩得1分，最多得3分；</w:t>
            </w:r>
          </w:p>
          <w:p>
            <w:pPr>
              <w:pStyle w:val="2"/>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注：提供合同或者成交通知书复印件、证书复印件盖章</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共同评审</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color w:val="FF0000"/>
                <w:sz w:val="24"/>
              </w:rPr>
              <w:t>应急预案20%</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color w:val="FF0000"/>
                <w:sz w:val="24"/>
              </w:rPr>
              <w:t>20分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针对竞选项目的应急保障需要，建立完善的应急服务预案，有明确的应急措施，保证在规定时间内到达现场及时处理问题且高于竞选项目实际需求的得20分；完全满足竞选项目实际需求的得15分；如有一项细微偏差扣1分，直至该项分值扣完为止，没有应急预案不得分。</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竞选文件制作规范2%</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竞选文件制作规范、编制完整、格式规范、内容清晰、装订整齐等没有细微偏差情形的得2分；有一项细微偏差扣0.5分，直至该项分值扣完为止。</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共同评分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备注</w:t>
            </w:r>
          </w:p>
        </w:tc>
        <w:tc>
          <w:tcPr>
            <w:tcW w:w="9072"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评分的取值按四舍五入法，保留小数点后两位。</w:t>
            </w:r>
          </w:p>
        </w:tc>
      </w:tr>
    </w:tbl>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Theme="minorEastAsia" w:hAnsiTheme="minorEastAsia" w:eastAsiaTheme="minorEastAsia"/>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Theme="minorEastAsia" w:hAnsiTheme="minorEastAsia" w:eastAsiaTheme="minorEastAsia"/>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44877"/>
    <w:multiLevelType w:val="singleLevel"/>
    <w:tmpl w:val="7A844877"/>
    <w:lvl w:ilvl="0" w:tentative="0">
      <w:start w:val="1"/>
      <w:numFmt w:val="decimal"/>
      <w:suff w:val="nothing"/>
      <w:lvlText w:val="%1、"/>
      <w:lvlJc w:val="left"/>
      <w:pPr>
        <w:ind w:left="2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E0C36"/>
    <w:rsid w:val="00021B04"/>
    <w:rsid w:val="00043B73"/>
    <w:rsid w:val="000473BD"/>
    <w:rsid w:val="00071C45"/>
    <w:rsid w:val="000C0003"/>
    <w:rsid w:val="000D313F"/>
    <w:rsid w:val="001550D8"/>
    <w:rsid w:val="001C4409"/>
    <w:rsid w:val="001E4AC3"/>
    <w:rsid w:val="001E53B7"/>
    <w:rsid w:val="001F6F3F"/>
    <w:rsid w:val="00202144"/>
    <w:rsid w:val="002157E6"/>
    <w:rsid w:val="002E0C36"/>
    <w:rsid w:val="003715EC"/>
    <w:rsid w:val="00374125"/>
    <w:rsid w:val="003A1599"/>
    <w:rsid w:val="003D7537"/>
    <w:rsid w:val="00434964"/>
    <w:rsid w:val="00497B58"/>
    <w:rsid w:val="0055476E"/>
    <w:rsid w:val="00562050"/>
    <w:rsid w:val="00584D2D"/>
    <w:rsid w:val="00656E3F"/>
    <w:rsid w:val="00657B7D"/>
    <w:rsid w:val="006A3897"/>
    <w:rsid w:val="00732EAF"/>
    <w:rsid w:val="007E63C3"/>
    <w:rsid w:val="008F2606"/>
    <w:rsid w:val="008F6343"/>
    <w:rsid w:val="00920E75"/>
    <w:rsid w:val="0098453C"/>
    <w:rsid w:val="00993CF4"/>
    <w:rsid w:val="009A6356"/>
    <w:rsid w:val="009C18D2"/>
    <w:rsid w:val="009D66F1"/>
    <w:rsid w:val="00B72E68"/>
    <w:rsid w:val="00B90E0F"/>
    <w:rsid w:val="00F33288"/>
    <w:rsid w:val="00F520E0"/>
    <w:rsid w:val="00F62382"/>
    <w:rsid w:val="00FA2406"/>
    <w:rsid w:val="07565FB7"/>
    <w:rsid w:val="0E534F31"/>
    <w:rsid w:val="25A477D9"/>
    <w:rsid w:val="26F90F40"/>
    <w:rsid w:val="288A7CBE"/>
    <w:rsid w:val="30DB4696"/>
    <w:rsid w:val="37910B93"/>
    <w:rsid w:val="388D0E8A"/>
    <w:rsid w:val="3EFF7557"/>
    <w:rsid w:val="55F32F2F"/>
    <w:rsid w:val="6F2F5D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pPr>
      <w:spacing w:after="120"/>
    </w:p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rFonts w:ascii="Times New Roman" w:hAnsi="Times New Roman" w:eastAsia="宋体" w:cs="Times New Roman"/>
      <w:sz w:val="18"/>
      <w:szCs w:val="18"/>
    </w:rPr>
  </w:style>
  <w:style w:type="character" w:customStyle="1" w:styleId="10">
    <w:name w:val="页脚 Char"/>
    <w:basedOn w:val="8"/>
    <w:link w:val="3"/>
    <w:semiHidden/>
    <w:qFormat/>
    <w:uiPriority w:val="99"/>
    <w:rPr>
      <w:rFonts w:ascii="Times New Roman" w:hAnsi="Times New Roman" w:eastAsia="宋体" w:cs="Times New Roman"/>
      <w:sz w:val="18"/>
      <w:szCs w:val="18"/>
    </w:rPr>
  </w:style>
  <w:style w:type="character" w:customStyle="1" w:styleId="11">
    <w:name w:val="正文文本 Char"/>
    <w:basedOn w:val="8"/>
    <w:link w:val="2"/>
    <w:uiPriority w:val="99"/>
    <w:rPr>
      <w:kern w:val="2"/>
      <w:sz w:val="21"/>
      <w:szCs w:val="24"/>
    </w:rPr>
  </w:style>
  <w:style w:type="paragraph" w:customStyle="1" w:styleId="12">
    <w:name w:val="_正文段落"/>
    <w:basedOn w:val="1"/>
    <w:qFormat/>
    <w:uiPriority w:val="0"/>
    <w:pPr>
      <w:spacing w:line="360" w:lineRule="auto"/>
      <w:ind w:left="200" w:firstLine="5832"/>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1584</Words>
  <Characters>9031</Characters>
  <Lines>75</Lines>
  <Paragraphs>21</Paragraphs>
  <TotalTime>2</TotalTime>
  <ScaleCrop>false</ScaleCrop>
  <LinksUpToDate>false</LinksUpToDate>
  <CharactersWithSpaces>10594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2020-12-15T02:12:00Z</dcterms:created>
  <dc:creator>s</dc:creator>
  <cp:lastModifiedBy>adminstrator</cp:lastModifiedBy>
  <dcterms:modified xsi:type="dcterms:W3CDTF">2021-12-27T08:28:28Z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F95C5FE2369C4A02B86E7DB281D904FE</vt:lpwstr>
  </property>
</Properties>
</file>