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内江市</w:t>
      </w:r>
      <w:bookmarkStart w:id="0" w:name="_GoBack"/>
      <w:bookmarkEnd w:id="0"/>
      <w:r>
        <w:rPr>
          <w:rFonts w:hint="eastAsia" w:ascii="方正小标宋简体" w:hAnsi="方正小标宋简体" w:eastAsia="方正小标宋简体" w:cs="方正小标宋简体"/>
          <w:b w:val="0"/>
          <w:bCs/>
          <w:sz w:val="44"/>
          <w:szCs w:val="44"/>
        </w:rPr>
        <w:t>第一人民医院</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rPr>
        <w:t>新区电梯维护保养竞选</w:t>
      </w:r>
      <w:r>
        <w:rPr>
          <w:rFonts w:hint="eastAsia" w:ascii="方正小标宋简体" w:hAnsi="方正小标宋简体" w:eastAsia="方正小标宋简体" w:cs="方正小标宋简体"/>
          <w:b w:val="0"/>
          <w:bCs/>
          <w:sz w:val="44"/>
          <w:szCs w:val="44"/>
          <w:lang w:val="en-US" w:eastAsia="zh-CN"/>
        </w:rPr>
        <w:t>公告</w:t>
      </w:r>
    </w:p>
    <w:p>
      <w:pPr>
        <w:keepNext w:val="0"/>
        <w:keepLines w:val="0"/>
        <w:pageBreakBefore w:val="0"/>
        <w:widowControl w:val="0"/>
        <w:kinsoku/>
        <w:wordWrap/>
        <w:overflowPunct/>
        <w:topLinePunct w:val="0"/>
        <w:bidi w:val="0"/>
        <w:adjustRightInd/>
        <w:snapToGrid/>
        <w:spacing w:line="560" w:lineRule="exact"/>
        <w:jc w:val="left"/>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一、竞选概况</w:t>
      </w:r>
    </w:p>
    <w:p>
      <w:pPr>
        <w:keepNext w:val="0"/>
        <w:keepLines w:val="0"/>
        <w:pageBreakBefore w:val="0"/>
        <w:widowControl w:val="0"/>
        <w:kinsoku/>
        <w:wordWrap/>
        <w:overflowPunct/>
        <w:topLinePunct w:val="0"/>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1、根据</w:t>
      </w:r>
      <w:r>
        <w:rPr>
          <w:rFonts w:hint="eastAsia" w:ascii="仿宋_GB2312" w:hAnsi="仿宋_GB2312" w:eastAsia="仿宋_GB2312" w:cs="仿宋_GB2312"/>
          <w:b/>
          <w:sz w:val="32"/>
          <w:szCs w:val="32"/>
        </w:rPr>
        <w:t>《中华人民共和国安全生产法》、《中华人民共和国特种设备安全法》、《特种设备安全监察条例》、《特种设备质量监督与安全监察规定》、</w:t>
      </w:r>
      <w:r>
        <w:rPr>
          <w:rFonts w:hint="eastAsia" w:ascii="仿宋_GB2312" w:hAnsi="仿宋_GB2312" w:eastAsia="仿宋_GB2312" w:cs="仿宋_GB2312"/>
          <w:b/>
          <w:kern w:val="0"/>
          <w:sz w:val="32"/>
          <w:szCs w:val="32"/>
        </w:rPr>
        <w:t>《四川省电梯安全监督管理办法》</w:t>
      </w:r>
      <w:r>
        <w:rPr>
          <w:rFonts w:hint="eastAsia" w:ascii="仿宋_GB2312" w:hAnsi="仿宋_GB2312" w:eastAsia="仿宋_GB2312" w:cs="仿宋_GB2312"/>
          <w:sz w:val="32"/>
          <w:szCs w:val="32"/>
        </w:rPr>
        <w:t>的相关法规，对我院新区</w:t>
      </w:r>
      <w:r>
        <w:rPr>
          <w:rFonts w:hint="eastAsia" w:ascii="仿宋_GB2312" w:hAnsi="仿宋_GB2312" w:eastAsia="仿宋_GB2312" w:cs="仿宋_GB2312"/>
          <w:sz w:val="32"/>
          <w:szCs w:val="32"/>
          <w:lang w:val="en-US" w:eastAsia="zh-CN"/>
        </w:rPr>
        <w:t>电梯</w:t>
      </w:r>
      <w:r>
        <w:rPr>
          <w:rFonts w:hint="eastAsia" w:ascii="仿宋_GB2312" w:hAnsi="仿宋_GB2312" w:eastAsia="仿宋_GB2312" w:cs="仿宋_GB2312"/>
          <w:sz w:val="32"/>
          <w:szCs w:val="32"/>
        </w:rPr>
        <w:t>进行维护保养竞选；</w:t>
      </w:r>
    </w:p>
    <w:p>
      <w:pPr>
        <w:keepNext w:val="0"/>
        <w:keepLines w:val="0"/>
        <w:pageBreakBefore w:val="0"/>
        <w:widowControl w:val="0"/>
        <w:kinsoku/>
        <w:wordWrap/>
        <w:overflowPunct/>
        <w:topLinePunct w:val="0"/>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2、维护保养时间1年。限价人民币12万元</w:t>
      </w:r>
    </w:p>
    <w:p>
      <w:pPr>
        <w:keepNext w:val="0"/>
        <w:keepLines w:val="0"/>
        <w:pageBreakBefore w:val="0"/>
        <w:widowControl w:val="0"/>
        <w:kinsoku/>
        <w:wordWrap/>
        <w:overflowPunct/>
        <w:topLinePunct w:val="0"/>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3、设备详情：</w:t>
      </w:r>
    </w:p>
    <w:tbl>
      <w:tblPr>
        <w:tblStyle w:val="6"/>
        <w:tblW w:w="10025"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938"/>
        <w:gridCol w:w="1504"/>
        <w:gridCol w:w="1618"/>
        <w:gridCol w:w="2321"/>
        <w:gridCol w:w="16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atLeast"/>
        </w:trPr>
        <w:tc>
          <w:tcPr>
            <w:tcW w:w="988" w:type="dxa"/>
            <w:vAlign w:val="center"/>
          </w:tcPr>
          <w:p>
            <w:pPr>
              <w:pStyle w:val="10"/>
              <w:keepNext w:val="0"/>
              <w:keepLines w:val="0"/>
              <w:pageBreakBefore w:val="0"/>
              <w:widowControl w:val="0"/>
              <w:tabs>
                <w:tab w:val="left" w:pos="687"/>
              </w:tabs>
              <w:kinsoku/>
              <w:wordWrap/>
              <w:overflowPunct/>
              <w:topLinePunct w:val="0"/>
              <w:bidi w:val="0"/>
              <w:adjustRightInd/>
              <w:snapToGrid/>
              <w:spacing w:before="2" w:after="47" w:line="560" w:lineRule="exact"/>
              <w:ind w:left="0" w:firstLine="0"/>
              <w:jc w:val="center"/>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序号</w:t>
            </w:r>
          </w:p>
        </w:tc>
        <w:tc>
          <w:tcPr>
            <w:tcW w:w="1938" w:type="dxa"/>
            <w:vAlign w:val="center"/>
          </w:tcPr>
          <w:p>
            <w:pPr>
              <w:pStyle w:val="10"/>
              <w:keepNext w:val="0"/>
              <w:keepLines w:val="0"/>
              <w:pageBreakBefore w:val="0"/>
              <w:widowControl w:val="0"/>
              <w:tabs>
                <w:tab w:val="left" w:pos="687"/>
              </w:tabs>
              <w:kinsoku/>
              <w:wordWrap/>
              <w:overflowPunct/>
              <w:topLinePunct w:val="0"/>
              <w:bidi w:val="0"/>
              <w:adjustRightInd/>
              <w:snapToGrid/>
              <w:spacing w:before="2" w:after="47" w:line="560" w:lineRule="exact"/>
              <w:ind w:left="0" w:firstLine="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电梯</w:t>
            </w:r>
            <w:r>
              <w:rPr>
                <w:rFonts w:hint="eastAsia" w:ascii="仿宋_GB2312" w:hAnsi="仿宋_GB2312" w:eastAsia="仿宋_GB2312" w:cs="仿宋_GB2312"/>
                <w:sz w:val="32"/>
                <w:szCs w:val="32"/>
                <w:lang w:val="en-US"/>
              </w:rPr>
              <w:t>品牌</w:t>
            </w:r>
          </w:p>
        </w:tc>
        <w:tc>
          <w:tcPr>
            <w:tcW w:w="1504" w:type="dxa"/>
            <w:vAlign w:val="center"/>
          </w:tcPr>
          <w:p>
            <w:pPr>
              <w:pStyle w:val="10"/>
              <w:keepNext w:val="0"/>
              <w:keepLines w:val="0"/>
              <w:pageBreakBefore w:val="0"/>
              <w:widowControl w:val="0"/>
              <w:tabs>
                <w:tab w:val="left" w:pos="687"/>
              </w:tabs>
              <w:kinsoku/>
              <w:wordWrap/>
              <w:overflowPunct/>
              <w:topLinePunct w:val="0"/>
              <w:bidi w:val="0"/>
              <w:adjustRightInd/>
              <w:snapToGrid/>
              <w:spacing w:before="2" w:after="47" w:line="560" w:lineRule="exact"/>
              <w:ind w:left="0" w:firstLine="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rPr>
              <w:t>载重（kg）</w:t>
            </w:r>
          </w:p>
        </w:tc>
        <w:tc>
          <w:tcPr>
            <w:tcW w:w="1618" w:type="dxa"/>
            <w:vAlign w:val="center"/>
          </w:tcPr>
          <w:p>
            <w:pPr>
              <w:pStyle w:val="10"/>
              <w:keepNext w:val="0"/>
              <w:keepLines w:val="0"/>
              <w:pageBreakBefore w:val="0"/>
              <w:widowControl w:val="0"/>
              <w:tabs>
                <w:tab w:val="left" w:pos="687"/>
              </w:tabs>
              <w:kinsoku/>
              <w:wordWrap/>
              <w:overflowPunct/>
              <w:topLinePunct w:val="0"/>
              <w:bidi w:val="0"/>
              <w:adjustRightInd/>
              <w:snapToGrid/>
              <w:spacing w:before="2" w:after="47" w:line="560" w:lineRule="exact"/>
              <w:ind w:left="0" w:firstLine="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速</w:t>
            </w:r>
            <w:r>
              <w:rPr>
                <w:rFonts w:hint="eastAsia" w:ascii="仿宋_GB2312" w:hAnsi="仿宋_GB2312" w:eastAsia="仿宋_GB2312" w:cs="仿宋_GB2312"/>
                <w:sz w:val="32"/>
                <w:szCs w:val="32"/>
                <w:lang w:val="en-US"/>
              </w:rPr>
              <w:t>度</w:t>
            </w:r>
            <w:r>
              <w:rPr>
                <w:rFonts w:hint="eastAsia" w:ascii="仿宋_GB2312" w:hAnsi="仿宋_GB2312" w:eastAsia="仿宋_GB2312" w:cs="仿宋_GB2312"/>
                <w:sz w:val="32"/>
                <w:szCs w:val="32"/>
              </w:rPr>
              <w:t>（m/s)</w:t>
            </w:r>
          </w:p>
        </w:tc>
        <w:tc>
          <w:tcPr>
            <w:tcW w:w="2321" w:type="dxa"/>
            <w:vAlign w:val="center"/>
          </w:tcPr>
          <w:p>
            <w:pPr>
              <w:pStyle w:val="10"/>
              <w:keepNext w:val="0"/>
              <w:keepLines w:val="0"/>
              <w:pageBreakBefore w:val="0"/>
              <w:widowControl w:val="0"/>
              <w:tabs>
                <w:tab w:val="left" w:pos="687"/>
              </w:tabs>
              <w:kinsoku/>
              <w:wordWrap/>
              <w:overflowPunct/>
              <w:topLinePunct w:val="0"/>
              <w:bidi w:val="0"/>
              <w:adjustRightInd/>
              <w:snapToGrid/>
              <w:spacing w:before="2" w:after="47" w:line="560" w:lineRule="exact"/>
              <w:ind w:left="0" w:firstLine="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层/站</w:t>
            </w:r>
          </w:p>
        </w:tc>
        <w:tc>
          <w:tcPr>
            <w:tcW w:w="1656" w:type="dxa"/>
            <w:vAlign w:val="center"/>
          </w:tcPr>
          <w:p>
            <w:pPr>
              <w:pStyle w:val="10"/>
              <w:keepNext w:val="0"/>
              <w:keepLines w:val="0"/>
              <w:pageBreakBefore w:val="0"/>
              <w:widowControl w:val="0"/>
              <w:tabs>
                <w:tab w:val="left" w:pos="687"/>
              </w:tabs>
              <w:kinsoku/>
              <w:wordWrap/>
              <w:overflowPunct/>
              <w:topLinePunct w:val="0"/>
              <w:bidi w:val="0"/>
              <w:adjustRightInd/>
              <w:snapToGrid/>
              <w:spacing w:before="2" w:after="47" w:line="560" w:lineRule="exact"/>
              <w:ind w:left="0" w:firstLine="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电梯数量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988" w:type="dxa"/>
            <w:vAlign w:val="center"/>
          </w:tcPr>
          <w:p>
            <w:pPr>
              <w:pStyle w:val="10"/>
              <w:keepNext w:val="0"/>
              <w:keepLines w:val="0"/>
              <w:pageBreakBefore w:val="0"/>
              <w:widowControl w:val="0"/>
              <w:tabs>
                <w:tab w:val="left" w:pos="687"/>
              </w:tabs>
              <w:kinsoku/>
              <w:wordWrap/>
              <w:overflowPunct/>
              <w:topLinePunct w:val="0"/>
              <w:bidi w:val="0"/>
              <w:adjustRightInd/>
              <w:snapToGrid/>
              <w:spacing w:before="2" w:after="47" w:line="560" w:lineRule="exact"/>
              <w:ind w:left="0" w:firstLine="0"/>
              <w:jc w:val="center"/>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1</w:t>
            </w:r>
          </w:p>
        </w:tc>
        <w:tc>
          <w:tcPr>
            <w:tcW w:w="1938" w:type="dxa"/>
            <w:vAlign w:val="center"/>
          </w:tcPr>
          <w:p>
            <w:pPr>
              <w:pStyle w:val="10"/>
              <w:keepNext w:val="0"/>
              <w:keepLines w:val="0"/>
              <w:pageBreakBefore w:val="0"/>
              <w:widowControl w:val="0"/>
              <w:tabs>
                <w:tab w:val="left" w:pos="687"/>
              </w:tabs>
              <w:kinsoku/>
              <w:wordWrap/>
              <w:overflowPunct/>
              <w:topLinePunct w:val="0"/>
              <w:bidi w:val="0"/>
              <w:adjustRightInd/>
              <w:snapToGrid/>
              <w:spacing w:before="2" w:after="47" w:line="560" w:lineRule="exact"/>
              <w:ind w:left="0" w:firstLine="0"/>
              <w:jc w:val="center"/>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西子奥的斯</w:t>
            </w:r>
          </w:p>
        </w:tc>
        <w:tc>
          <w:tcPr>
            <w:tcW w:w="1504" w:type="dxa"/>
            <w:vAlign w:val="center"/>
          </w:tcPr>
          <w:p>
            <w:pPr>
              <w:pStyle w:val="10"/>
              <w:keepNext w:val="0"/>
              <w:keepLines w:val="0"/>
              <w:pageBreakBefore w:val="0"/>
              <w:widowControl w:val="0"/>
              <w:tabs>
                <w:tab w:val="left" w:pos="687"/>
              </w:tabs>
              <w:kinsoku/>
              <w:wordWrap/>
              <w:overflowPunct/>
              <w:topLinePunct w:val="0"/>
              <w:bidi w:val="0"/>
              <w:adjustRightInd/>
              <w:snapToGrid/>
              <w:spacing w:before="2" w:after="47" w:line="560" w:lineRule="exact"/>
              <w:ind w:left="0" w:firstLine="0"/>
              <w:jc w:val="center"/>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1000</w:t>
            </w:r>
          </w:p>
        </w:tc>
        <w:tc>
          <w:tcPr>
            <w:tcW w:w="1618" w:type="dxa"/>
            <w:vAlign w:val="center"/>
          </w:tcPr>
          <w:p>
            <w:pPr>
              <w:pStyle w:val="10"/>
              <w:keepNext w:val="0"/>
              <w:keepLines w:val="0"/>
              <w:pageBreakBefore w:val="0"/>
              <w:widowControl w:val="0"/>
              <w:tabs>
                <w:tab w:val="left" w:pos="687"/>
              </w:tabs>
              <w:kinsoku/>
              <w:wordWrap/>
              <w:overflowPunct/>
              <w:topLinePunct w:val="0"/>
              <w:bidi w:val="0"/>
              <w:adjustRightInd/>
              <w:snapToGrid/>
              <w:spacing w:before="2" w:after="47" w:line="560" w:lineRule="exact"/>
              <w:ind w:left="0" w:firstLine="0"/>
              <w:jc w:val="center"/>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1.75</w:t>
            </w:r>
          </w:p>
        </w:tc>
        <w:tc>
          <w:tcPr>
            <w:tcW w:w="2321" w:type="dxa"/>
            <w:vAlign w:val="center"/>
          </w:tcPr>
          <w:p>
            <w:pPr>
              <w:pStyle w:val="10"/>
              <w:keepNext w:val="0"/>
              <w:keepLines w:val="0"/>
              <w:pageBreakBefore w:val="0"/>
              <w:widowControl w:val="0"/>
              <w:tabs>
                <w:tab w:val="left" w:pos="687"/>
              </w:tabs>
              <w:kinsoku/>
              <w:wordWrap/>
              <w:overflowPunct/>
              <w:topLinePunct w:val="0"/>
              <w:bidi w:val="0"/>
              <w:adjustRightInd/>
              <w:snapToGrid/>
              <w:spacing w:before="2" w:after="47" w:line="560" w:lineRule="exact"/>
              <w:ind w:left="0" w:firstLine="0"/>
              <w:jc w:val="center"/>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12/12</w:t>
            </w:r>
          </w:p>
        </w:tc>
        <w:tc>
          <w:tcPr>
            <w:tcW w:w="1656" w:type="dxa"/>
            <w:vAlign w:val="center"/>
          </w:tcPr>
          <w:p>
            <w:pPr>
              <w:pStyle w:val="10"/>
              <w:keepNext w:val="0"/>
              <w:keepLines w:val="0"/>
              <w:pageBreakBefore w:val="0"/>
              <w:widowControl w:val="0"/>
              <w:tabs>
                <w:tab w:val="left" w:pos="687"/>
              </w:tabs>
              <w:kinsoku/>
              <w:wordWrap/>
              <w:overflowPunct/>
              <w:topLinePunct w:val="0"/>
              <w:bidi w:val="0"/>
              <w:adjustRightInd/>
              <w:snapToGrid/>
              <w:spacing w:before="2" w:after="47" w:line="560" w:lineRule="exact"/>
              <w:ind w:left="0" w:firstLine="0"/>
              <w:jc w:val="center"/>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988" w:type="dxa"/>
            <w:vAlign w:val="center"/>
          </w:tcPr>
          <w:p>
            <w:pPr>
              <w:pStyle w:val="10"/>
              <w:keepNext w:val="0"/>
              <w:keepLines w:val="0"/>
              <w:pageBreakBefore w:val="0"/>
              <w:widowControl w:val="0"/>
              <w:tabs>
                <w:tab w:val="left" w:pos="687"/>
              </w:tabs>
              <w:kinsoku/>
              <w:wordWrap/>
              <w:overflowPunct/>
              <w:topLinePunct w:val="0"/>
              <w:bidi w:val="0"/>
              <w:adjustRightInd/>
              <w:snapToGrid/>
              <w:spacing w:before="2" w:after="47" w:line="560" w:lineRule="exact"/>
              <w:ind w:left="0" w:firstLine="0"/>
              <w:jc w:val="center"/>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2</w:t>
            </w:r>
          </w:p>
        </w:tc>
        <w:tc>
          <w:tcPr>
            <w:tcW w:w="1938" w:type="dxa"/>
            <w:vAlign w:val="center"/>
          </w:tcPr>
          <w:p>
            <w:pPr>
              <w:keepNext w:val="0"/>
              <w:keepLines w:val="0"/>
              <w:pageBreakBefore w:val="0"/>
              <w:widowControl w:val="0"/>
              <w:kinsoku/>
              <w:wordWrap/>
              <w:overflowPunct/>
              <w:topLinePunct w:val="0"/>
              <w:bidi w:val="0"/>
              <w:adjustRightInd/>
              <w:snapToGrid/>
              <w:spacing w:before="2" w:after="47"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西子奥的斯</w:t>
            </w:r>
          </w:p>
        </w:tc>
        <w:tc>
          <w:tcPr>
            <w:tcW w:w="1504" w:type="dxa"/>
            <w:vAlign w:val="center"/>
          </w:tcPr>
          <w:p>
            <w:pPr>
              <w:pStyle w:val="10"/>
              <w:keepNext w:val="0"/>
              <w:keepLines w:val="0"/>
              <w:pageBreakBefore w:val="0"/>
              <w:widowControl w:val="0"/>
              <w:tabs>
                <w:tab w:val="left" w:pos="687"/>
              </w:tabs>
              <w:kinsoku/>
              <w:wordWrap/>
              <w:overflowPunct/>
              <w:topLinePunct w:val="0"/>
              <w:bidi w:val="0"/>
              <w:adjustRightInd/>
              <w:snapToGrid/>
              <w:spacing w:before="2" w:after="47" w:line="560" w:lineRule="exact"/>
              <w:ind w:left="0" w:firstLine="0"/>
              <w:jc w:val="center"/>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1600</w:t>
            </w:r>
          </w:p>
        </w:tc>
        <w:tc>
          <w:tcPr>
            <w:tcW w:w="1618" w:type="dxa"/>
            <w:vAlign w:val="center"/>
          </w:tcPr>
          <w:p>
            <w:pPr>
              <w:pStyle w:val="10"/>
              <w:keepNext w:val="0"/>
              <w:keepLines w:val="0"/>
              <w:pageBreakBefore w:val="0"/>
              <w:widowControl w:val="0"/>
              <w:tabs>
                <w:tab w:val="left" w:pos="687"/>
              </w:tabs>
              <w:kinsoku/>
              <w:wordWrap/>
              <w:overflowPunct/>
              <w:topLinePunct w:val="0"/>
              <w:bidi w:val="0"/>
              <w:adjustRightInd/>
              <w:snapToGrid/>
              <w:spacing w:before="2" w:after="47" w:line="560" w:lineRule="exact"/>
              <w:ind w:left="0" w:firstLine="0"/>
              <w:jc w:val="center"/>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1.75</w:t>
            </w:r>
          </w:p>
        </w:tc>
        <w:tc>
          <w:tcPr>
            <w:tcW w:w="2321" w:type="dxa"/>
            <w:vAlign w:val="center"/>
          </w:tcPr>
          <w:p>
            <w:pPr>
              <w:pStyle w:val="10"/>
              <w:keepNext w:val="0"/>
              <w:keepLines w:val="0"/>
              <w:pageBreakBefore w:val="0"/>
              <w:widowControl w:val="0"/>
              <w:tabs>
                <w:tab w:val="left" w:pos="687"/>
              </w:tabs>
              <w:kinsoku/>
              <w:wordWrap/>
              <w:overflowPunct/>
              <w:topLinePunct w:val="0"/>
              <w:bidi w:val="0"/>
              <w:adjustRightInd/>
              <w:snapToGrid/>
              <w:spacing w:before="2" w:after="47" w:line="560" w:lineRule="exact"/>
              <w:ind w:left="0" w:firstLine="0"/>
              <w:jc w:val="center"/>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12/12</w:t>
            </w:r>
          </w:p>
        </w:tc>
        <w:tc>
          <w:tcPr>
            <w:tcW w:w="1656" w:type="dxa"/>
            <w:vAlign w:val="center"/>
          </w:tcPr>
          <w:p>
            <w:pPr>
              <w:pStyle w:val="10"/>
              <w:keepNext w:val="0"/>
              <w:keepLines w:val="0"/>
              <w:pageBreakBefore w:val="0"/>
              <w:widowControl w:val="0"/>
              <w:tabs>
                <w:tab w:val="left" w:pos="687"/>
              </w:tabs>
              <w:kinsoku/>
              <w:wordWrap/>
              <w:overflowPunct/>
              <w:topLinePunct w:val="0"/>
              <w:bidi w:val="0"/>
              <w:adjustRightInd/>
              <w:snapToGrid/>
              <w:spacing w:before="2" w:after="47" w:line="560" w:lineRule="exact"/>
              <w:ind w:left="0" w:firstLine="0"/>
              <w:jc w:val="center"/>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988" w:type="dxa"/>
            <w:vAlign w:val="center"/>
          </w:tcPr>
          <w:p>
            <w:pPr>
              <w:pStyle w:val="10"/>
              <w:keepNext w:val="0"/>
              <w:keepLines w:val="0"/>
              <w:pageBreakBefore w:val="0"/>
              <w:widowControl w:val="0"/>
              <w:tabs>
                <w:tab w:val="left" w:pos="687"/>
              </w:tabs>
              <w:kinsoku/>
              <w:wordWrap/>
              <w:overflowPunct/>
              <w:topLinePunct w:val="0"/>
              <w:bidi w:val="0"/>
              <w:adjustRightInd/>
              <w:snapToGrid/>
              <w:spacing w:before="2" w:after="47" w:line="560" w:lineRule="exact"/>
              <w:ind w:left="0" w:firstLine="0"/>
              <w:jc w:val="center"/>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3</w:t>
            </w:r>
          </w:p>
        </w:tc>
        <w:tc>
          <w:tcPr>
            <w:tcW w:w="1938" w:type="dxa"/>
            <w:vAlign w:val="center"/>
          </w:tcPr>
          <w:p>
            <w:pPr>
              <w:keepNext w:val="0"/>
              <w:keepLines w:val="0"/>
              <w:pageBreakBefore w:val="0"/>
              <w:widowControl w:val="0"/>
              <w:kinsoku/>
              <w:wordWrap/>
              <w:overflowPunct/>
              <w:topLinePunct w:val="0"/>
              <w:bidi w:val="0"/>
              <w:adjustRightInd/>
              <w:snapToGrid/>
              <w:spacing w:before="2" w:after="47"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西子奥的斯</w:t>
            </w:r>
          </w:p>
        </w:tc>
        <w:tc>
          <w:tcPr>
            <w:tcW w:w="1504" w:type="dxa"/>
            <w:vAlign w:val="center"/>
          </w:tcPr>
          <w:p>
            <w:pPr>
              <w:pStyle w:val="10"/>
              <w:keepNext w:val="0"/>
              <w:keepLines w:val="0"/>
              <w:pageBreakBefore w:val="0"/>
              <w:widowControl w:val="0"/>
              <w:tabs>
                <w:tab w:val="left" w:pos="687"/>
              </w:tabs>
              <w:kinsoku/>
              <w:wordWrap/>
              <w:overflowPunct/>
              <w:topLinePunct w:val="0"/>
              <w:bidi w:val="0"/>
              <w:adjustRightInd/>
              <w:snapToGrid/>
              <w:spacing w:before="2" w:after="47" w:line="560" w:lineRule="exact"/>
              <w:ind w:left="0" w:firstLine="0"/>
              <w:jc w:val="center"/>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1600</w:t>
            </w:r>
          </w:p>
        </w:tc>
        <w:tc>
          <w:tcPr>
            <w:tcW w:w="1618" w:type="dxa"/>
            <w:vAlign w:val="center"/>
          </w:tcPr>
          <w:p>
            <w:pPr>
              <w:pStyle w:val="10"/>
              <w:keepNext w:val="0"/>
              <w:keepLines w:val="0"/>
              <w:pageBreakBefore w:val="0"/>
              <w:widowControl w:val="0"/>
              <w:tabs>
                <w:tab w:val="left" w:pos="687"/>
              </w:tabs>
              <w:kinsoku/>
              <w:wordWrap/>
              <w:overflowPunct/>
              <w:topLinePunct w:val="0"/>
              <w:bidi w:val="0"/>
              <w:adjustRightInd/>
              <w:snapToGrid/>
              <w:spacing w:before="2" w:after="47" w:line="560" w:lineRule="exact"/>
              <w:ind w:left="0" w:firstLine="0"/>
              <w:jc w:val="center"/>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1.75</w:t>
            </w:r>
          </w:p>
        </w:tc>
        <w:tc>
          <w:tcPr>
            <w:tcW w:w="2321" w:type="dxa"/>
            <w:vAlign w:val="center"/>
          </w:tcPr>
          <w:p>
            <w:pPr>
              <w:pStyle w:val="10"/>
              <w:keepNext w:val="0"/>
              <w:keepLines w:val="0"/>
              <w:pageBreakBefore w:val="0"/>
              <w:widowControl w:val="0"/>
              <w:tabs>
                <w:tab w:val="left" w:pos="687"/>
              </w:tabs>
              <w:kinsoku/>
              <w:wordWrap/>
              <w:overflowPunct/>
              <w:topLinePunct w:val="0"/>
              <w:bidi w:val="0"/>
              <w:adjustRightInd/>
              <w:snapToGrid/>
              <w:spacing w:before="2" w:after="47" w:line="560" w:lineRule="exact"/>
              <w:ind w:left="0" w:firstLine="0"/>
              <w:jc w:val="center"/>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13/13</w:t>
            </w:r>
          </w:p>
        </w:tc>
        <w:tc>
          <w:tcPr>
            <w:tcW w:w="1656" w:type="dxa"/>
            <w:vAlign w:val="center"/>
          </w:tcPr>
          <w:p>
            <w:pPr>
              <w:pStyle w:val="10"/>
              <w:keepNext w:val="0"/>
              <w:keepLines w:val="0"/>
              <w:pageBreakBefore w:val="0"/>
              <w:widowControl w:val="0"/>
              <w:tabs>
                <w:tab w:val="left" w:pos="687"/>
              </w:tabs>
              <w:kinsoku/>
              <w:wordWrap/>
              <w:overflowPunct/>
              <w:topLinePunct w:val="0"/>
              <w:bidi w:val="0"/>
              <w:adjustRightInd/>
              <w:snapToGrid/>
              <w:spacing w:before="2" w:after="47" w:line="560" w:lineRule="exact"/>
              <w:ind w:left="0" w:firstLine="0"/>
              <w:jc w:val="center"/>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988" w:type="dxa"/>
            <w:vAlign w:val="center"/>
          </w:tcPr>
          <w:p>
            <w:pPr>
              <w:pStyle w:val="10"/>
              <w:keepNext w:val="0"/>
              <w:keepLines w:val="0"/>
              <w:pageBreakBefore w:val="0"/>
              <w:widowControl w:val="0"/>
              <w:tabs>
                <w:tab w:val="left" w:pos="687"/>
              </w:tabs>
              <w:kinsoku/>
              <w:wordWrap/>
              <w:overflowPunct/>
              <w:topLinePunct w:val="0"/>
              <w:bidi w:val="0"/>
              <w:adjustRightInd/>
              <w:snapToGrid/>
              <w:spacing w:before="2" w:after="47" w:line="560" w:lineRule="exact"/>
              <w:ind w:left="0" w:firstLine="0"/>
              <w:jc w:val="center"/>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4</w:t>
            </w:r>
          </w:p>
        </w:tc>
        <w:tc>
          <w:tcPr>
            <w:tcW w:w="1938" w:type="dxa"/>
            <w:vAlign w:val="center"/>
          </w:tcPr>
          <w:p>
            <w:pPr>
              <w:pStyle w:val="10"/>
              <w:keepNext w:val="0"/>
              <w:keepLines w:val="0"/>
              <w:pageBreakBefore w:val="0"/>
              <w:widowControl w:val="0"/>
              <w:tabs>
                <w:tab w:val="left" w:pos="687"/>
              </w:tabs>
              <w:kinsoku/>
              <w:wordWrap/>
              <w:overflowPunct/>
              <w:topLinePunct w:val="0"/>
              <w:bidi w:val="0"/>
              <w:adjustRightInd/>
              <w:snapToGrid/>
              <w:spacing w:before="2" w:after="47" w:line="560" w:lineRule="exact"/>
              <w:ind w:left="0" w:firstLine="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通用电梯</w:t>
            </w:r>
          </w:p>
        </w:tc>
        <w:tc>
          <w:tcPr>
            <w:tcW w:w="1504" w:type="dxa"/>
            <w:vAlign w:val="center"/>
          </w:tcPr>
          <w:p>
            <w:pPr>
              <w:pStyle w:val="10"/>
              <w:keepNext w:val="0"/>
              <w:keepLines w:val="0"/>
              <w:pageBreakBefore w:val="0"/>
              <w:widowControl w:val="0"/>
              <w:tabs>
                <w:tab w:val="left" w:pos="687"/>
              </w:tabs>
              <w:kinsoku/>
              <w:wordWrap/>
              <w:overflowPunct/>
              <w:topLinePunct w:val="0"/>
              <w:bidi w:val="0"/>
              <w:adjustRightInd/>
              <w:snapToGrid/>
              <w:spacing w:before="2" w:after="47" w:line="560" w:lineRule="exact"/>
              <w:ind w:left="0" w:firstLine="0"/>
              <w:jc w:val="center"/>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1600</w:t>
            </w:r>
          </w:p>
        </w:tc>
        <w:tc>
          <w:tcPr>
            <w:tcW w:w="1618" w:type="dxa"/>
            <w:vAlign w:val="center"/>
          </w:tcPr>
          <w:p>
            <w:pPr>
              <w:pStyle w:val="10"/>
              <w:keepNext w:val="0"/>
              <w:keepLines w:val="0"/>
              <w:pageBreakBefore w:val="0"/>
              <w:widowControl w:val="0"/>
              <w:tabs>
                <w:tab w:val="left" w:pos="687"/>
              </w:tabs>
              <w:kinsoku/>
              <w:wordWrap/>
              <w:overflowPunct/>
              <w:topLinePunct w:val="0"/>
              <w:bidi w:val="0"/>
              <w:adjustRightInd/>
              <w:snapToGrid/>
              <w:spacing w:before="2" w:after="47" w:line="560" w:lineRule="exact"/>
              <w:ind w:left="0" w:firstLine="0"/>
              <w:jc w:val="center"/>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1.0</w:t>
            </w:r>
          </w:p>
        </w:tc>
        <w:tc>
          <w:tcPr>
            <w:tcW w:w="2321" w:type="dxa"/>
            <w:vAlign w:val="center"/>
          </w:tcPr>
          <w:p>
            <w:pPr>
              <w:pStyle w:val="10"/>
              <w:keepNext w:val="0"/>
              <w:keepLines w:val="0"/>
              <w:pageBreakBefore w:val="0"/>
              <w:widowControl w:val="0"/>
              <w:tabs>
                <w:tab w:val="left" w:pos="687"/>
              </w:tabs>
              <w:kinsoku/>
              <w:wordWrap/>
              <w:overflowPunct/>
              <w:topLinePunct w:val="0"/>
              <w:bidi w:val="0"/>
              <w:adjustRightInd/>
              <w:snapToGrid/>
              <w:spacing w:before="2" w:after="47" w:line="560" w:lineRule="exact"/>
              <w:ind w:left="0" w:firstLine="0"/>
              <w:jc w:val="center"/>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6/6/6</w:t>
            </w:r>
          </w:p>
        </w:tc>
        <w:tc>
          <w:tcPr>
            <w:tcW w:w="1656" w:type="dxa"/>
            <w:vAlign w:val="center"/>
          </w:tcPr>
          <w:p>
            <w:pPr>
              <w:pStyle w:val="10"/>
              <w:keepNext w:val="0"/>
              <w:keepLines w:val="0"/>
              <w:pageBreakBefore w:val="0"/>
              <w:widowControl w:val="0"/>
              <w:tabs>
                <w:tab w:val="left" w:pos="687"/>
              </w:tabs>
              <w:kinsoku/>
              <w:wordWrap/>
              <w:overflowPunct/>
              <w:topLinePunct w:val="0"/>
              <w:bidi w:val="0"/>
              <w:adjustRightInd/>
              <w:snapToGrid/>
              <w:spacing w:before="2" w:after="47" w:line="560" w:lineRule="exact"/>
              <w:ind w:left="0" w:firstLine="0"/>
              <w:jc w:val="center"/>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988" w:type="dxa"/>
            <w:vAlign w:val="center"/>
          </w:tcPr>
          <w:p>
            <w:pPr>
              <w:pStyle w:val="10"/>
              <w:keepNext w:val="0"/>
              <w:keepLines w:val="0"/>
              <w:pageBreakBefore w:val="0"/>
              <w:widowControl w:val="0"/>
              <w:tabs>
                <w:tab w:val="left" w:pos="687"/>
              </w:tabs>
              <w:kinsoku/>
              <w:wordWrap/>
              <w:overflowPunct/>
              <w:topLinePunct w:val="0"/>
              <w:bidi w:val="0"/>
              <w:adjustRightInd/>
              <w:snapToGrid/>
              <w:spacing w:before="2" w:after="47" w:line="560" w:lineRule="exact"/>
              <w:ind w:left="0" w:firstLine="0"/>
              <w:jc w:val="center"/>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5</w:t>
            </w:r>
          </w:p>
        </w:tc>
        <w:tc>
          <w:tcPr>
            <w:tcW w:w="1938" w:type="dxa"/>
            <w:vAlign w:val="center"/>
          </w:tcPr>
          <w:p>
            <w:pPr>
              <w:pStyle w:val="10"/>
              <w:keepNext w:val="0"/>
              <w:keepLines w:val="0"/>
              <w:pageBreakBefore w:val="0"/>
              <w:widowControl w:val="0"/>
              <w:tabs>
                <w:tab w:val="left" w:pos="687"/>
              </w:tabs>
              <w:kinsoku/>
              <w:wordWrap/>
              <w:overflowPunct/>
              <w:topLinePunct w:val="0"/>
              <w:bidi w:val="0"/>
              <w:adjustRightInd/>
              <w:snapToGrid/>
              <w:spacing w:before="2" w:after="47" w:line="560" w:lineRule="exact"/>
              <w:ind w:left="0" w:firstLine="0"/>
              <w:jc w:val="center"/>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rPr>
              <w:t>通用电梯</w:t>
            </w:r>
          </w:p>
        </w:tc>
        <w:tc>
          <w:tcPr>
            <w:tcW w:w="1504" w:type="dxa"/>
            <w:vAlign w:val="center"/>
          </w:tcPr>
          <w:p>
            <w:pPr>
              <w:pStyle w:val="10"/>
              <w:keepNext w:val="0"/>
              <w:keepLines w:val="0"/>
              <w:pageBreakBefore w:val="0"/>
              <w:widowControl w:val="0"/>
              <w:tabs>
                <w:tab w:val="left" w:pos="687"/>
              </w:tabs>
              <w:kinsoku/>
              <w:wordWrap/>
              <w:overflowPunct/>
              <w:topLinePunct w:val="0"/>
              <w:bidi w:val="0"/>
              <w:adjustRightInd/>
              <w:snapToGrid/>
              <w:spacing w:before="2" w:after="47" w:line="560" w:lineRule="exact"/>
              <w:ind w:left="0" w:firstLine="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1350</w:t>
            </w:r>
          </w:p>
        </w:tc>
        <w:tc>
          <w:tcPr>
            <w:tcW w:w="1618" w:type="dxa"/>
            <w:vAlign w:val="center"/>
          </w:tcPr>
          <w:p>
            <w:pPr>
              <w:pStyle w:val="10"/>
              <w:keepNext w:val="0"/>
              <w:keepLines w:val="0"/>
              <w:pageBreakBefore w:val="0"/>
              <w:widowControl w:val="0"/>
              <w:tabs>
                <w:tab w:val="left" w:pos="687"/>
              </w:tabs>
              <w:kinsoku/>
              <w:wordWrap/>
              <w:overflowPunct/>
              <w:topLinePunct w:val="0"/>
              <w:bidi w:val="0"/>
              <w:adjustRightInd/>
              <w:snapToGrid/>
              <w:spacing w:before="2" w:after="47" w:line="560" w:lineRule="exact"/>
              <w:ind w:left="0" w:firstLine="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rPr>
              <w:t>1.0</w:t>
            </w:r>
          </w:p>
        </w:tc>
        <w:tc>
          <w:tcPr>
            <w:tcW w:w="2321" w:type="dxa"/>
            <w:vAlign w:val="center"/>
          </w:tcPr>
          <w:p>
            <w:pPr>
              <w:pStyle w:val="10"/>
              <w:keepNext w:val="0"/>
              <w:keepLines w:val="0"/>
              <w:pageBreakBefore w:val="0"/>
              <w:widowControl w:val="0"/>
              <w:tabs>
                <w:tab w:val="left" w:pos="687"/>
              </w:tabs>
              <w:kinsoku/>
              <w:wordWrap/>
              <w:overflowPunct/>
              <w:topLinePunct w:val="0"/>
              <w:bidi w:val="0"/>
              <w:adjustRightInd/>
              <w:snapToGrid/>
              <w:spacing w:before="2" w:after="47" w:line="560" w:lineRule="exact"/>
              <w:ind w:left="0" w:firstLine="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rPr>
              <w:t>6/6/6</w:t>
            </w:r>
          </w:p>
        </w:tc>
        <w:tc>
          <w:tcPr>
            <w:tcW w:w="1656" w:type="dxa"/>
            <w:vAlign w:val="center"/>
          </w:tcPr>
          <w:p>
            <w:pPr>
              <w:pStyle w:val="10"/>
              <w:keepNext w:val="0"/>
              <w:keepLines w:val="0"/>
              <w:pageBreakBefore w:val="0"/>
              <w:widowControl w:val="0"/>
              <w:tabs>
                <w:tab w:val="left" w:pos="687"/>
              </w:tabs>
              <w:kinsoku/>
              <w:wordWrap/>
              <w:overflowPunct/>
              <w:topLinePunct w:val="0"/>
              <w:bidi w:val="0"/>
              <w:adjustRightInd/>
              <w:snapToGrid/>
              <w:spacing w:before="2" w:after="47" w:line="560" w:lineRule="exact"/>
              <w:ind w:left="0" w:firstLine="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988" w:type="dxa"/>
            <w:vAlign w:val="center"/>
          </w:tcPr>
          <w:p>
            <w:pPr>
              <w:pStyle w:val="10"/>
              <w:keepNext w:val="0"/>
              <w:keepLines w:val="0"/>
              <w:pageBreakBefore w:val="0"/>
              <w:widowControl w:val="0"/>
              <w:tabs>
                <w:tab w:val="left" w:pos="687"/>
              </w:tabs>
              <w:kinsoku/>
              <w:wordWrap/>
              <w:overflowPunct/>
              <w:topLinePunct w:val="0"/>
              <w:bidi w:val="0"/>
              <w:adjustRightInd/>
              <w:snapToGrid/>
              <w:spacing w:before="2" w:after="47" w:line="560" w:lineRule="exact"/>
              <w:ind w:left="0" w:firstLine="0"/>
              <w:jc w:val="center"/>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6</w:t>
            </w:r>
          </w:p>
        </w:tc>
        <w:tc>
          <w:tcPr>
            <w:tcW w:w="1938" w:type="dxa"/>
            <w:vAlign w:val="center"/>
          </w:tcPr>
          <w:p>
            <w:pPr>
              <w:pStyle w:val="10"/>
              <w:keepNext w:val="0"/>
              <w:keepLines w:val="0"/>
              <w:pageBreakBefore w:val="0"/>
              <w:widowControl w:val="0"/>
              <w:tabs>
                <w:tab w:val="left" w:pos="687"/>
              </w:tabs>
              <w:kinsoku/>
              <w:wordWrap/>
              <w:overflowPunct/>
              <w:topLinePunct w:val="0"/>
              <w:bidi w:val="0"/>
              <w:adjustRightInd/>
              <w:snapToGrid/>
              <w:spacing w:before="2" w:after="47" w:line="560" w:lineRule="exact"/>
              <w:ind w:left="0" w:firstLine="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通用电梯（扶梯）</w:t>
            </w:r>
          </w:p>
        </w:tc>
        <w:tc>
          <w:tcPr>
            <w:tcW w:w="1504" w:type="dxa"/>
            <w:vAlign w:val="center"/>
          </w:tcPr>
          <w:p>
            <w:pPr>
              <w:pStyle w:val="10"/>
              <w:keepNext w:val="0"/>
              <w:keepLines w:val="0"/>
              <w:pageBreakBefore w:val="0"/>
              <w:widowControl w:val="0"/>
              <w:tabs>
                <w:tab w:val="left" w:pos="687"/>
              </w:tabs>
              <w:kinsoku/>
              <w:wordWrap/>
              <w:overflowPunct/>
              <w:topLinePunct w:val="0"/>
              <w:bidi w:val="0"/>
              <w:adjustRightInd/>
              <w:snapToGrid/>
              <w:spacing w:before="2" w:after="47" w:line="560" w:lineRule="exact"/>
              <w:ind w:left="0" w:firstLine="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p>
        </w:tc>
        <w:tc>
          <w:tcPr>
            <w:tcW w:w="1618" w:type="dxa"/>
            <w:vAlign w:val="center"/>
          </w:tcPr>
          <w:p>
            <w:pPr>
              <w:pStyle w:val="10"/>
              <w:keepNext w:val="0"/>
              <w:keepLines w:val="0"/>
              <w:pageBreakBefore w:val="0"/>
              <w:widowControl w:val="0"/>
              <w:tabs>
                <w:tab w:val="left" w:pos="687"/>
              </w:tabs>
              <w:kinsoku/>
              <w:wordWrap/>
              <w:overflowPunct/>
              <w:topLinePunct w:val="0"/>
              <w:bidi w:val="0"/>
              <w:adjustRightInd/>
              <w:snapToGrid/>
              <w:spacing w:before="2" w:after="47" w:line="560" w:lineRule="exact"/>
              <w:ind w:left="0" w:firstLine="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0.5</w:t>
            </w:r>
          </w:p>
        </w:tc>
        <w:tc>
          <w:tcPr>
            <w:tcW w:w="2321" w:type="dxa"/>
            <w:vAlign w:val="center"/>
          </w:tcPr>
          <w:p>
            <w:pPr>
              <w:pStyle w:val="10"/>
              <w:keepNext w:val="0"/>
              <w:keepLines w:val="0"/>
              <w:pageBreakBefore w:val="0"/>
              <w:widowControl w:val="0"/>
              <w:tabs>
                <w:tab w:val="left" w:pos="687"/>
              </w:tabs>
              <w:kinsoku/>
              <w:wordWrap/>
              <w:overflowPunct/>
              <w:topLinePunct w:val="0"/>
              <w:bidi w:val="0"/>
              <w:adjustRightInd/>
              <w:snapToGrid/>
              <w:spacing w:before="2" w:after="47" w:line="560" w:lineRule="exact"/>
              <w:ind w:left="0" w:firstLine="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p>
        </w:tc>
        <w:tc>
          <w:tcPr>
            <w:tcW w:w="1656" w:type="dxa"/>
            <w:vAlign w:val="center"/>
          </w:tcPr>
          <w:p>
            <w:pPr>
              <w:pStyle w:val="10"/>
              <w:keepNext w:val="0"/>
              <w:keepLines w:val="0"/>
              <w:pageBreakBefore w:val="0"/>
              <w:widowControl w:val="0"/>
              <w:tabs>
                <w:tab w:val="left" w:pos="687"/>
              </w:tabs>
              <w:kinsoku/>
              <w:wordWrap/>
              <w:overflowPunct/>
              <w:topLinePunct w:val="0"/>
              <w:bidi w:val="0"/>
              <w:adjustRightInd/>
              <w:snapToGrid/>
              <w:spacing w:before="2" w:after="47" w:line="560" w:lineRule="exact"/>
              <w:ind w:left="0" w:firstLine="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988" w:type="dxa"/>
            <w:vAlign w:val="center"/>
          </w:tcPr>
          <w:p>
            <w:pPr>
              <w:pStyle w:val="10"/>
              <w:keepNext w:val="0"/>
              <w:keepLines w:val="0"/>
              <w:pageBreakBefore w:val="0"/>
              <w:widowControl w:val="0"/>
              <w:tabs>
                <w:tab w:val="left" w:pos="687"/>
              </w:tabs>
              <w:kinsoku/>
              <w:wordWrap/>
              <w:overflowPunct/>
              <w:topLinePunct w:val="0"/>
              <w:bidi w:val="0"/>
              <w:adjustRightInd/>
              <w:snapToGrid/>
              <w:spacing w:before="2" w:after="47" w:line="560" w:lineRule="exact"/>
              <w:ind w:left="0" w:firstLine="0"/>
              <w:jc w:val="center"/>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共计</w:t>
            </w:r>
          </w:p>
        </w:tc>
        <w:tc>
          <w:tcPr>
            <w:tcW w:w="9037" w:type="dxa"/>
            <w:gridSpan w:val="5"/>
            <w:vAlign w:val="center"/>
          </w:tcPr>
          <w:p>
            <w:pPr>
              <w:pStyle w:val="10"/>
              <w:keepNext w:val="0"/>
              <w:keepLines w:val="0"/>
              <w:pageBreakBefore w:val="0"/>
              <w:widowControl w:val="0"/>
              <w:tabs>
                <w:tab w:val="left" w:pos="687"/>
              </w:tabs>
              <w:kinsoku/>
              <w:wordWrap/>
              <w:overflowPunct/>
              <w:topLinePunct w:val="0"/>
              <w:bidi w:val="0"/>
              <w:adjustRightInd/>
              <w:snapToGrid/>
              <w:spacing w:before="2" w:after="47" w:line="560" w:lineRule="exact"/>
              <w:ind w:left="0" w:firstLine="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32部电梯</w:t>
            </w:r>
          </w:p>
        </w:tc>
      </w:tr>
    </w:tbl>
    <w:p>
      <w:pPr>
        <w:keepNext w:val="0"/>
        <w:keepLines w:val="0"/>
        <w:pageBreakBefore w:val="0"/>
        <w:widowControl w:val="0"/>
        <w:kinsoku/>
        <w:wordWrap/>
        <w:overflowPunct/>
        <w:topLinePunct w:val="0"/>
        <w:bidi w:val="0"/>
        <w:adjustRightInd/>
        <w:snapToGrid/>
        <w:spacing w:line="560" w:lineRule="exact"/>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二、</w:t>
      </w:r>
      <w:r>
        <w:rPr>
          <w:rFonts w:hint="eastAsia" w:ascii="仿宋_GB2312" w:hAnsi="仿宋_GB2312" w:eastAsia="仿宋_GB2312" w:cs="仿宋_GB2312"/>
          <w:b/>
          <w:sz w:val="32"/>
          <w:szCs w:val="32"/>
        </w:rPr>
        <w:t xml:space="preserve">资质要求  </w:t>
      </w:r>
    </w:p>
    <w:p>
      <w:pPr>
        <w:keepNext w:val="0"/>
        <w:keepLines w:val="0"/>
        <w:pageBreakBefore w:val="0"/>
        <w:widowControl w:val="0"/>
        <w:kinsoku/>
        <w:wordWrap/>
        <w:overflowPunct/>
        <w:topLinePunct w:val="0"/>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1、供应商必须具有在中华人民共和国境内注册的独立企业法人资格；并且具有合法、有效的营业执照及经营范围；</w:t>
      </w:r>
    </w:p>
    <w:p>
      <w:pPr>
        <w:keepNext w:val="0"/>
        <w:keepLines w:val="0"/>
        <w:pageBreakBefore w:val="0"/>
        <w:widowControl w:val="0"/>
        <w:kinsoku/>
        <w:wordWrap/>
        <w:overflowPunct/>
        <w:topLinePunct w:val="0"/>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2、供应商必须具有履行合同所必需的设备和专业技术能力；</w:t>
      </w:r>
    </w:p>
    <w:p>
      <w:pPr>
        <w:keepNext w:val="0"/>
        <w:keepLines w:val="0"/>
        <w:pageBreakBefore w:val="0"/>
        <w:widowControl w:val="0"/>
        <w:kinsoku/>
        <w:wordWrap/>
        <w:overflowPunct/>
        <w:topLinePunct w:val="0"/>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3、供应商必须具备相关法律、行政法规规定的其他条件； </w:t>
      </w:r>
    </w:p>
    <w:p>
      <w:pPr>
        <w:keepNext w:val="0"/>
        <w:keepLines w:val="0"/>
        <w:pageBreakBefore w:val="0"/>
        <w:widowControl w:val="0"/>
        <w:kinsoku/>
        <w:wordWrap/>
        <w:overflowPunct/>
        <w:topLinePunct w:val="0"/>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4、供应商应具有良好的商业信誉，没有处于被责令停业,财产被接管、冻结破产状态。</w:t>
      </w:r>
    </w:p>
    <w:p>
      <w:pPr>
        <w:keepNext w:val="0"/>
        <w:keepLines w:val="0"/>
        <w:pageBreakBefore w:val="0"/>
        <w:widowControl w:val="0"/>
        <w:kinsoku/>
        <w:wordWrap/>
        <w:overflowPunct/>
        <w:topLinePunct w:val="0"/>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5、供应商参选人不是单位法定代表的，需提供竞选单位法人身份证复印件及竞选委托书和参选个人身份证复印件；</w:t>
      </w:r>
      <w:r>
        <w:rPr>
          <w:rFonts w:hint="eastAsia" w:ascii="仿宋_GB2312" w:hAnsi="仿宋_GB2312" w:eastAsia="仿宋_GB2312" w:cs="仿宋_GB2312"/>
          <w:sz w:val="32"/>
          <w:szCs w:val="32"/>
        </w:rPr>
        <w:tab/>
      </w:r>
    </w:p>
    <w:p>
      <w:pPr>
        <w:keepNext w:val="0"/>
        <w:keepLines w:val="0"/>
        <w:pageBreakBefore w:val="0"/>
        <w:widowControl w:val="0"/>
        <w:kinsoku/>
        <w:wordWrap/>
        <w:overflowPunct/>
        <w:topLinePunct w:val="0"/>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6、参加采购活动前三年内，在经营活动中没有重大违法记录；</w:t>
      </w:r>
    </w:p>
    <w:p>
      <w:pPr>
        <w:keepNext w:val="0"/>
        <w:keepLines w:val="0"/>
        <w:pageBreakBefore w:val="0"/>
        <w:widowControl w:val="0"/>
        <w:kinsoku/>
        <w:wordWrap/>
        <w:overflowPunct/>
        <w:topLinePunct w:val="0"/>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7、本项目不接受联合体竞选；</w:t>
      </w:r>
    </w:p>
    <w:p>
      <w:pPr>
        <w:keepNext w:val="0"/>
        <w:keepLines w:val="0"/>
        <w:pageBreakBefore w:val="0"/>
        <w:widowControl w:val="0"/>
        <w:kinsoku/>
        <w:wordWrap/>
        <w:overflowPunct/>
        <w:topLinePunct w:val="0"/>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8、本项目规定的其他要求。</w:t>
      </w:r>
    </w:p>
    <w:p>
      <w:pPr>
        <w:keepNext w:val="0"/>
        <w:keepLines w:val="0"/>
        <w:pageBreakBefore w:val="0"/>
        <w:widowControl w:val="0"/>
        <w:kinsoku/>
        <w:wordWrap/>
        <w:overflowPunct/>
        <w:topLinePunct w:val="0"/>
        <w:bidi w:val="0"/>
        <w:adjustRightInd/>
        <w:snapToGrid/>
        <w:spacing w:line="560" w:lineRule="exact"/>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注：以上资料必须齐全，复印件须加盖竞选单位公章。</w:t>
      </w:r>
    </w:p>
    <w:p>
      <w:pPr>
        <w:keepNext w:val="0"/>
        <w:keepLines w:val="0"/>
        <w:pageBreakBefore w:val="0"/>
        <w:widowControl w:val="0"/>
        <w:kinsoku/>
        <w:wordWrap/>
        <w:overflowPunct/>
        <w:topLinePunct w:val="0"/>
        <w:bidi w:val="0"/>
        <w:adjustRightInd/>
        <w:snapToGrid/>
        <w:spacing w:line="560" w:lineRule="exact"/>
        <w:ind w:firstLine="643" w:firstLineChars="200"/>
        <w:jc w:val="left"/>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三、维保服务要求及内容</w:t>
      </w:r>
    </w:p>
    <w:p>
      <w:pPr>
        <w:keepNext w:val="0"/>
        <w:keepLines w:val="0"/>
        <w:pageBreakBefore w:val="0"/>
        <w:widowControl w:val="0"/>
        <w:kinsoku/>
        <w:wordWrap/>
        <w:overflowPunct/>
        <w:topLinePunct w:val="0"/>
        <w:bidi w:val="0"/>
        <w:adjustRightInd/>
        <w:snapToGrid/>
        <w:spacing w:line="560" w:lineRule="exact"/>
        <w:ind w:firstLine="643" w:firstLineChars="200"/>
        <w:jc w:val="left"/>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1.服务要求：</w:t>
      </w:r>
    </w:p>
    <w:p>
      <w:pPr>
        <w:keepNext w:val="0"/>
        <w:keepLines w:val="0"/>
        <w:pageBreakBefore w:val="0"/>
        <w:widowControl w:val="0"/>
        <w:kinsoku/>
        <w:wordWrap/>
        <w:overflowPunct/>
        <w:topLinePunct w:val="0"/>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1.1本院（新区）驻点服务1人；</w:t>
      </w:r>
    </w:p>
    <w:p>
      <w:pPr>
        <w:keepNext w:val="0"/>
        <w:keepLines w:val="0"/>
        <w:pageBreakBefore w:val="0"/>
        <w:widowControl w:val="0"/>
        <w:kinsoku/>
        <w:wordWrap/>
        <w:overflowPunct/>
        <w:topLinePunct w:val="0"/>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1.2困人及故障应急维修工作需在5-10分钟内到达现场并处理；</w:t>
      </w:r>
    </w:p>
    <w:p>
      <w:pPr>
        <w:keepNext w:val="0"/>
        <w:keepLines w:val="0"/>
        <w:pageBreakBefore w:val="0"/>
        <w:widowControl w:val="0"/>
        <w:kinsoku/>
        <w:wordWrap/>
        <w:overflowPunct/>
        <w:topLinePunct w:val="0"/>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电梯故障所需更换的零部件（除曳引主机、装饰、增加安全部件以外的电梯其它零部件等）易损件1小时内更换并恢复；安全部件及大型机械部件1-3天内更换并恢复；控制系统、主板、变频器1-7天内更换并恢复；</w:t>
      </w:r>
    </w:p>
    <w:p>
      <w:pPr>
        <w:keepNext w:val="0"/>
        <w:keepLines w:val="0"/>
        <w:pageBreakBefore w:val="0"/>
        <w:widowControl w:val="0"/>
        <w:kinsoku/>
        <w:wordWrap/>
        <w:overflowPunct/>
        <w:topLinePunct w:val="0"/>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1.4按相关法规要求完成电梯的日常维护保养，保证电梯的正常运行使用，保证出现故障时的及时修复。</w:t>
      </w:r>
    </w:p>
    <w:p>
      <w:pPr>
        <w:keepNext w:val="0"/>
        <w:keepLines w:val="0"/>
        <w:pageBreakBefore w:val="0"/>
        <w:widowControl w:val="0"/>
        <w:kinsoku/>
        <w:wordWrap/>
        <w:overflowPunct/>
        <w:topLinePunct w:val="0"/>
        <w:bidi w:val="0"/>
        <w:adjustRightInd/>
        <w:snapToGrid/>
        <w:spacing w:line="560" w:lineRule="exact"/>
        <w:ind w:firstLine="643" w:firstLineChars="200"/>
        <w:jc w:val="left"/>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★2.维保内容：</w:t>
      </w:r>
    </w:p>
    <w:p>
      <w:pPr>
        <w:keepNext w:val="0"/>
        <w:keepLines w:val="0"/>
        <w:pageBreakBefore w:val="0"/>
        <w:widowControl w:val="0"/>
        <w:kinsoku/>
        <w:wordWrap/>
        <w:overflowPunct/>
        <w:topLinePunct w:val="0"/>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2.1日常维护保养项目（内容）和要求：电梯维修保养符合《国家制造与安装安全规范》（GB7588-2033）、《电梯维修规范》（GB/T18775-20025）、及《特种设备安全监察条例》的要求，必须达到或超过特种设备技术安全规范（TSGT5002-2017）《维护保养规则》等国家标准的要求；</w:t>
      </w:r>
    </w:p>
    <w:p>
      <w:pPr>
        <w:keepNext w:val="0"/>
        <w:keepLines w:val="0"/>
        <w:pageBreakBefore w:val="0"/>
        <w:widowControl w:val="0"/>
        <w:kinsoku/>
        <w:wordWrap/>
        <w:overflowPunct/>
        <w:topLinePunct w:val="0"/>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2.2通过有计划的检修、保养，保证电梯各部件在良性循环状态下运转，延长各部件的工作寿命，及时更换除曳引主机部件、电梯装饰、规则要求新增设的安全部件外的其它零部件。保证电梯正常安全顺畅运行；</w:t>
      </w:r>
    </w:p>
    <w:p>
      <w:pPr>
        <w:keepNext w:val="0"/>
        <w:keepLines w:val="0"/>
        <w:pageBreakBefore w:val="0"/>
        <w:widowControl w:val="0"/>
        <w:kinsoku/>
        <w:wordWrap/>
        <w:overflowPunct/>
        <w:topLinePunct w:val="0"/>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2.3为了使电梯顺利通过市场监督管理局的年度检查，协助市场监督管理局特种设备检验机构实施安全年检，如存在问题须立即整改，以取得电梯使用合格证。维保方须书面通知使用单位并最终协助质检部门和使用单位进行年检。保证电梯每年及时通过年审。</w:t>
      </w:r>
    </w:p>
    <w:p>
      <w:pPr>
        <w:keepNext w:val="0"/>
        <w:keepLines w:val="0"/>
        <w:pageBreakBefore w:val="0"/>
        <w:widowControl w:val="0"/>
        <w:kinsoku/>
        <w:wordWrap/>
        <w:overflowPunct/>
        <w:topLinePunct w:val="0"/>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2.4每月对电梯保养2次，供应商制定例行（每十五日）维护计划表（日期、梯号），供应商按照计划日期于工作时间下午13时至24时内（发生不可抗力情况例外）派技术人员对该电梯进行日常例行维护保养。维护保养应符合行业安全运行标准，每次保养完毕后，将有关维护保养或故障处理的《工作记录单》一式贰份，交我方签字确认后各自存档。并配合医院建立电梯管理档案资料：包括技术档案（如原理图、接线图等），维护保养记录，电梯检测资料及其他相关资料。 </w:t>
      </w:r>
    </w:p>
    <w:p>
      <w:pPr>
        <w:keepNext w:val="0"/>
        <w:keepLines w:val="0"/>
        <w:pageBreakBefore w:val="0"/>
        <w:widowControl w:val="0"/>
        <w:kinsoku/>
        <w:wordWrap/>
        <w:overflowPunct/>
        <w:topLinePunct w:val="0"/>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2.5自配工作所需的工具和设备，保养或维修时须设置安全警示标志。</w:t>
      </w:r>
    </w:p>
    <w:p>
      <w:pPr>
        <w:keepNext w:val="0"/>
        <w:keepLines w:val="0"/>
        <w:pageBreakBefore w:val="0"/>
        <w:widowControl w:val="0"/>
        <w:kinsoku/>
        <w:wordWrap/>
        <w:overflowPunct/>
        <w:topLinePunct w:val="0"/>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2.6设立24小时维修热线电话，接到电梯困人故障或非困人故障报告后，维修人员需在15分钟内到达现场（无驻点维修人员需在30分钟内到达现场）。如不按规定时间到达现场造成的一切后果由维保单位承担。维保单位需记录电梯的运行状态、故障次数、修理次数等重要数据，为保养电梯建立运行档案。技术人员通过对数据的分析，全面了解电梯的运行情况，制定维护保养方案。</w:t>
      </w:r>
    </w:p>
    <w:p>
      <w:pPr>
        <w:keepNext w:val="0"/>
        <w:keepLines w:val="0"/>
        <w:pageBreakBefore w:val="0"/>
        <w:widowControl w:val="0"/>
        <w:kinsoku/>
        <w:wordWrap/>
        <w:overflowPunct/>
        <w:topLinePunct w:val="0"/>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2.7如本项目遇有重大接待任务、会议等情况，维保单位应提前对电梯进行安全检查，必要时加派维保人员到现场配合，免费提供全程监护服务。</w:t>
      </w:r>
    </w:p>
    <w:p>
      <w:pPr>
        <w:keepNext w:val="0"/>
        <w:keepLines w:val="0"/>
        <w:pageBreakBefore w:val="0"/>
        <w:widowControl w:val="0"/>
        <w:kinsoku/>
        <w:wordWrap/>
        <w:overflowPunct/>
        <w:topLinePunct w:val="0"/>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2.8维护保养的周期应根据电梯使用情况、工作环境而定，但只可增加，不能减少。 </w:t>
      </w:r>
    </w:p>
    <w:p>
      <w:pPr>
        <w:keepNext w:val="0"/>
        <w:keepLines w:val="0"/>
        <w:pageBreakBefore w:val="0"/>
        <w:widowControl w:val="0"/>
        <w:kinsoku/>
        <w:wordWrap/>
        <w:overflowPunct/>
        <w:topLinePunct w:val="0"/>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2.9维保单位承担所维修电梯发生的非人为因素引起的一切事故责任。</w:t>
      </w:r>
    </w:p>
    <w:p>
      <w:pPr>
        <w:keepNext w:val="0"/>
        <w:keepLines w:val="0"/>
        <w:pageBreakBefore w:val="0"/>
        <w:widowControl w:val="0"/>
        <w:kinsoku/>
        <w:wordWrap/>
        <w:overflowPunct/>
        <w:topLinePunct w:val="0"/>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2.10 维保单位应当对电梯维修做出相应的维修应急预案（预案需含解困、急修、备件、响应时间等相关内容）；</w:t>
      </w:r>
    </w:p>
    <w:p>
      <w:pPr>
        <w:keepNext w:val="0"/>
        <w:keepLines w:val="0"/>
        <w:pageBreakBefore w:val="0"/>
        <w:widowControl w:val="0"/>
        <w:kinsoku/>
        <w:wordWrap/>
        <w:overflowPunct/>
        <w:topLinePunct w:val="0"/>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2.11若发生下列情况，结算时扣除全部设备维保服务费的5%（每发生一次扣除5%）：</w:t>
      </w:r>
    </w:p>
    <w:p>
      <w:pPr>
        <w:keepNext w:val="0"/>
        <w:keepLines w:val="0"/>
        <w:pageBreakBefore w:val="0"/>
        <w:widowControl w:val="0"/>
        <w:kinsoku/>
        <w:wordWrap/>
        <w:overflowPunct/>
        <w:topLinePunct w:val="0"/>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⑴未完成日常保养任务；</w:t>
      </w:r>
    </w:p>
    <w:p>
      <w:pPr>
        <w:keepNext w:val="0"/>
        <w:keepLines w:val="0"/>
        <w:pageBreakBefore w:val="0"/>
        <w:widowControl w:val="0"/>
        <w:kinsoku/>
        <w:wordWrap/>
        <w:overflowPunct/>
        <w:topLinePunct w:val="0"/>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⑵电梯故障，未按要求的时间内到达现场；</w:t>
      </w:r>
    </w:p>
    <w:p>
      <w:pPr>
        <w:keepNext w:val="0"/>
        <w:keepLines w:val="0"/>
        <w:pageBreakBefore w:val="0"/>
        <w:widowControl w:val="0"/>
        <w:kinsoku/>
        <w:wordWrap/>
        <w:overflowPunct/>
        <w:topLinePunct w:val="0"/>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⑶电梯非正常运行或因故障停止运行1天以上。</w:t>
      </w:r>
    </w:p>
    <w:p>
      <w:pPr>
        <w:keepNext w:val="0"/>
        <w:keepLines w:val="0"/>
        <w:pageBreakBefore w:val="0"/>
        <w:widowControl w:val="0"/>
        <w:kinsoku/>
        <w:wordWrap/>
        <w:overflowPunct/>
        <w:topLinePunct w:val="0"/>
        <w:bidi w:val="0"/>
        <w:adjustRightInd/>
        <w:snapToGrid/>
        <w:spacing w:line="560" w:lineRule="exact"/>
        <w:ind w:firstLine="643" w:firstLineChars="200"/>
        <w:jc w:val="left"/>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四、投递竞选书及参竞要求</w:t>
      </w:r>
    </w:p>
    <w:p>
      <w:pPr>
        <w:keepNext w:val="0"/>
        <w:keepLines w:val="0"/>
        <w:pageBreakBefore w:val="0"/>
        <w:widowControl w:val="0"/>
        <w:kinsoku/>
        <w:wordWrap/>
        <w:overflowPunct/>
        <w:topLinePunct w:val="0"/>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★1、根据国家疫情防控要求，处于中高风险地区的供应商不能参加此次竞选；</w:t>
      </w:r>
    </w:p>
    <w:p>
      <w:pPr>
        <w:pStyle w:val="2"/>
        <w:keepNext w:val="0"/>
        <w:keepLines w:val="0"/>
        <w:pageBreakBefore w:val="0"/>
        <w:widowControl w:val="0"/>
        <w:kinsoku/>
        <w:wordWrap/>
        <w:overflowPunct/>
        <w:topLinePunct w:val="0"/>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★2、供应商必须对设备进行现场踏堪（取得现场踏堪凭证明）</w:t>
      </w:r>
    </w:p>
    <w:p>
      <w:pPr>
        <w:pStyle w:val="2"/>
        <w:keepNext w:val="0"/>
        <w:keepLines w:val="0"/>
        <w:pageBreakBefore w:val="0"/>
        <w:widowControl w:val="0"/>
        <w:kinsoku/>
        <w:wordWrap/>
        <w:overflowPunct/>
        <w:topLinePunct w:val="0"/>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★3、根据医院疫情防控管理要求，到场踏堪人员必须提供48小时内核酸检测证明后才能进入现场。</w:t>
      </w:r>
    </w:p>
    <w:p>
      <w:pPr>
        <w:pStyle w:val="2"/>
        <w:keepNext w:val="0"/>
        <w:keepLines w:val="0"/>
        <w:pageBreakBefore w:val="0"/>
        <w:widowControl w:val="0"/>
        <w:kinsoku/>
        <w:wordWrap/>
        <w:overflowPunct/>
        <w:topLinePunct w:val="0"/>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★4、符合条件且愿意参加竞选的供应商于开选时到开选地点，必须凭现场踏堪证明，必须提供48小时内核酸检测证明、疫情防控行程绿码后方能入场，并现场递交竞选文件，竞选全程必须佩戴口罩。</w:t>
      </w:r>
    </w:p>
    <w:p>
      <w:pPr>
        <w:keepNext w:val="0"/>
        <w:keepLines w:val="0"/>
        <w:pageBreakBefore w:val="0"/>
        <w:widowControl w:val="0"/>
        <w:kinsoku/>
        <w:wordWrap/>
        <w:overflowPunct/>
        <w:topLinePunct w:val="0"/>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5、竞选所报价格必须包括维修、安装、调试、人工、应急服务、含税等</w:t>
      </w:r>
      <w:r>
        <w:rPr>
          <w:rFonts w:hint="eastAsia" w:ascii="仿宋_GB2312" w:hAnsi="仿宋_GB2312" w:eastAsia="仿宋_GB2312" w:cs="仿宋_GB2312"/>
          <w:sz w:val="32"/>
          <w:szCs w:val="32"/>
          <w:lang w:val="en-US" w:eastAsia="zh-CN"/>
        </w:rPr>
        <w:t>所有费用</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6、供应商需提供此次项目的分项报价明细，说明报价组成部份。</w:t>
      </w:r>
    </w:p>
    <w:p>
      <w:pPr>
        <w:keepNext w:val="0"/>
        <w:keepLines w:val="0"/>
        <w:pageBreakBefore w:val="0"/>
        <w:widowControl w:val="0"/>
        <w:kinsoku/>
        <w:wordWrap/>
        <w:overflowPunct/>
        <w:topLinePunct w:val="0"/>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7、通过初步审查的供应商，根据通知在规定的时间内进行第二轮报价，供应商最后报价不得高于对该项目之前的报价，否则，将视为无效响应，不允许进入竞选环节。</w:t>
      </w:r>
    </w:p>
    <w:p>
      <w:pPr>
        <w:keepNext w:val="0"/>
        <w:keepLines w:val="0"/>
        <w:pageBreakBefore w:val="0"/>
        <w:widowControl w:val="0"/>
        <w:kinsoku/>
        <w:wordWrap/>
        <w:overflowPunct/>
        <w:topLinePunct w:val="0"/>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响应文件一式三份（其中正本1份、副本2份）响应文件封面上标注“正本”、“副本”字样，注明项目、项目名称和供应商名称。</w:t>
      </w:r>
    </w:p>
    <w:p>
      <w:pPr>
        <w:keepNext w:val="0"/>
        <w:keepLines w:val="0"/>
        <w:pageBreakBefore w:val="0"/>
        <w:widowControl w:val="0"/>
        <w:kinsoku/>
        <w:wordWrap/>
        <w:overflowPunct/>
        <w:topLinePunct w:val="0"/>
        <w:bidi w:val="0"/>
        <w:adjustRightInd/>
        <w:snapToGrid/>
        <w:spacing w:line="560" w:lineRule="exact"/>
        <w:ind w:firstLine="643"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五、竞选时间</w:t>
      </w:r>
    </w:p>
    <w:p>
      <w:pPr>
        <w:keepNext w:val="0"/>
        <w:keepLines w:val="0"/>
        <w:pageBreakBefore w:val="0"/>
        <w:widowControl w:val="0"/>
        <w:kinsoku/>
        <w:wordWrap/>
        <w:overflowPunct/>
        <w:topLinePunct w:val="0"/>
        <w:bidi w:val="0"/>
        <w:adjustRightInd/>
        <w:snapToGrid/>
        <w:spacing w:line="560" w:lineRule="exact"/>
        <w:ind w:left="641" w:leftChars="-533" w:hanging="1760" w:hangingChars="55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2022年3月3日上午10时。</w:t>
      </w:r>
    </w:p>
    <w:p>
      <w:pPr>
        <w:keepNext w:val="0"/>
        <w:keepLines w:val="0"/>
        <w:pageBreakBefore w:val="0"/>
        <w:widowControl w:val="0"/>
        <w:kinsoku/>
        <w:wordWrap/>
        <w:overflowPunct/>
        <w:topLinePunct w:val="0"/>
        <w:bidi w:val="0"/>
        <w:adjustRightInd/>
        <w:snapToGrid/>
        <w:spacing w:line="560" w:lineRule="exact"/>
        <w:ind w:firstLine="643" w:firstLineChars="200"/>
        <w:jc w:val="left"/>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六、开选地点</w:t>
      </w:r>
    </w:p>
    <w:p>
      <w:pPr>
        <w:keepNext w:val="0"/>
        <w:keepLines w:val="0"/>
        <w:pageBreakBefore w:val="0"/>
        <w:widowControl w:val="0"/>
        <w:kinsoku/>
        <w:wordWrap/>
        <w:overflowPunct/>
        <w:topLinePunct w:val="0"/>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内江市第一人民医院新区医院全科楼五楼会议室。</w:t>
      </w:r>
    </w:p>
    <w:p>
      <w:pPr>
        <w:keepNext w:val="0"/>
        <w:keepLines w:val="0"/>
        <w:pageBreakBefore w:val="0"/>
        <w:widowControl w:val="0"/>
        <w:kinsoku/>
        <w:wordWrap/>
        <w:overflowPunct/>
        <w:topLinePunct w:val="0"/>
        <w:bidi w:val="0"/>
        <w:adjustRightInd/>
        <w:snapToGrid/>
        <w:spacing w:line="560" w:lineRule="exact"/>
        <w:ind w:firstLine="643"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七、评选标准</w:t>
      </w:r>
    </w:p>
    <w:p>
      <w:pPr>
        <w:keepNext w:val="0"/>
        <w:keepLines w:val="0"/>
        <w:pageBreakBefore w:val="0"/>
        <w:widowControl w:val="0"/>
        <w:kinsoku/>
        <w:wordWrap/>
        <w:overflowPunct/>
        <w:topLinePunct w:val="0"/>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根据报价、公司资质、人员技术类别、服务能力等进行综合评比。</w:t>
      </w:r>
    </w:p>
    <w:p>
      <w:pPr>
        <w:keepNext w:val="0"/>
        <w:keepLines w:val="0"/>
        <w:pageBreakBefore w:val="0"/>
        <w:widowControl w:val="0"/>
        <w:kinsoku/>
        <w:wordWrap/>
        <w:overflowPunct/>
        <w:topLinePunct w:val="0"/>
        <w:bidi w:val="0"/>
        <w:adjustRightInd/>
        <w:snapToGrid/>
        <w:spacing w:line="560" w:lineRule="exact"/>
        <w:ind w:firstLine="643"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联系人：总务科  黄 黎</w:t>
      </w:r>
    </w:p>
    <w:p>
      <w:pPr>
        <w:keepNext w:val="0"/>
        <w:keepLines w:val="0"/>
        <w:pageBreakBefore w:val="0"/>
        <w:widowControl w:val="0"/>
        <w:kinsoku/>
        <w:wordWrap/>
        <w:overflowPunct/>
        <w:topLinePunct w:val="0"/>
        <w:bidi w:val="0"/>
        <w:adjustRightInd/>
        <w:snapToGrid/>
        <w:spacing w:line="560" w:lineRule="exact"/>
        <w:ind w:firstLine="643"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联系电话：13541616520</w:t>
      </w:r>
    </w:p>
    <w:p>
      <w:pPr>
        <w:keepNext w:val="0"/>
        <w:keepLines w:val="0"/>
        <w:pageBreakBefore w:val="0"/>
        <w:widowControl w:val="0"/>
        <w:kinsoku/>
        <w:wordWrap/>
        <w:overflowPunct/>
        <w:topLinePunct w:val="0"/>
        <w:bidi w:val="0"/>
        <w:adjustRightInd/>
        <w:snapToGrid/>
        <w:spacing w:line="560" w:lineRule="exact"/>
        <w:ind w:firstLine="643" w:firstLineChars="200"/>
        <w:textAlignment w:val="auto"/>
        <w:rPr>
          <w:rFonts w:hint="default"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lang w:val="en-US" w:eastAsia="zh-CN"/>
        </w:rPr>
        <w:t>监督电话：0832-2155638</w:t>
      </w:r>
    </w:p>
    <w:p>
      <w:pPr>
        <w:spacing w:line="480" w:lineRule="exact"/>
        <w:ind w:firstLine="643" w:firstLineChars="200"/>
        <w:rPr>
          <w:rFonts w:ascii="仿宋" w:hAnsi="仿宋" w:eastAsia="仿宋"/>
          <w:b/>
          <w:sz w:val="32"/>
          <w:szCs w:val="32"/>
        </w:rPr>
      </w:pPr>
    </w:p>
    <w:p>
      <w:pPr>
        <w:spacing w:line="480" w:lineRule="exact"/>
        <w:ind w:firstLine="643" w:firstLineChars="200"/>
        <w:rPr>
          <w:rFonts w:ascii="仿宋" w:hAnsi="仿宋" w:eastAsia="仿宋"/>
          <w:b/>
          <w:sz w:val="32"/>
          <w:szCs w:val="32"/>
        </w:rPr>
      </w:pPr>
    </w:p>
    <w:p>
      <w:pPr>
        <w:spacing w:line="480" w:lineRule="exact"/>
        <w:ind w:firstLine="643" w:firstLineChars="200"/>
        <w:rPr>
          <w:rFonts w:ascii="仿宋" w:hAnsi="仿宋" w:eastAsia="仿宋"/>
          <w:b/>
          <w:sz w:val="32"/>
          <w:szCs w:val="32"/>
        </w:rPr>
      </w:pPr>
    </w:p>
    <w:p>
      <w:pPr>
        <w:spacing w:line="480" w:lineRule="exact"/>
        <w:ind w:firstLine="643" w:firstLineChars="200"/>
        <w:rPr>
          <w:rFonts w:ascii="仿宋" w:hAnsi="仿宋" w:eastAsia="仿宋"/>
          <w:b/>
          <w:sz w:val="32"/>
          <w:szCs w:val="32"/>
        </w:rPr>
      </w:pPr>
    </w:p>
    <w:p>
      <w:pPr>
        <w:spacing w:line="480" w:lineRule="exact"/>
        <w:ind w:firstLine="643" w:firstLineChars="200"/>
        <w:rPr>
          <w:rFonts w:ascii="仿宋" w:hAnsi="仿宋" w:eastAsia="仿宋"/>
          <w:b/>
          <w:sz w:val="32"/>
          <w:szCs w:val="32"/>
        </w:rPr>
      </w:pPr>
    </w:p>
    <w:p>
      <w:pPr>
        <w:spacing w:line="480" w:lineRule="exact"/>
        <w:ind w:firstLine="643" w:firstLineChars="200"/>
        <w:rPr>
          <w:rFonts w:ascii="仿宋" w:hAnsi="仿宋" w:eastAsia="仿宋"/>
          <w:b/>
          <w:sz w:val="32"/>
          <w:szCs w:val="32"/>
        </w:rPr>
      </w:pPr>
    </w:p>
    <w:p>
      <w:pPr>
        <w:spacing w:line="480" w:lineRule="exact"/>
        <w:ind w:firstLine="643" w:firstLineChars="200"/>
        <w:rPr>
          <w:rFonts w:ascii="仿宋" w:hAnsi="仿宋" w:eastAsia="仿宋"/>
          <w:b/>
          <w:sz w:val="32"/>
          <w:szCs w:val="32"/>
        </w:rPr>
      </w:pPr>
    </w:p>
    <w:p>
      <w:pPr>
        <w:spacing w:line="480" w:lineRule="exact"/>
        <w:ind w:firstLine="643" w:firstLineChars="200"/>
        <w:rPr>
          <w:rFonts w:ascii="仿宋" w:hAnsi="仿宋" w:eastAsia="仿宋"/>
          <w:b/>
          <w:sz w:val="32"/>
          <w:szCs w:val="32"/>
        </w:rPr>
      </w:pPr>
    </w:p>
    <w:p>
      <w:pPr>
        <w:spacing w:line="480" w:lineRule="exact"/>
        <w:ind w:firstLine="643" w:firstLineChars="200"/>
        <w:rPr>
          <w:rFonts w:ascii="仿宋" w:hAnsi="仿宋" w:eastAsia="仿宋"/>
          <w:b/>
          <w:sz w:val="32"/>
          <w:szCs w:val="32"/>
        </w:rPr>
      </w:pPr>
    </w:p>
    <w:p>
      <w:pPr>
        <w:spacing w:line="480" w:lineRule="exact"/>
        <w:ind w:firstLine="643" w:firstLineChars="200"/>
        <w:rPr>
          <w:rFonts w:ascii="仿宋" w:hAnsi="仿宋" w:eastAsia="仿宋"/>
          <w:b/>
          <w:sz w:val="32"/>
          <w:szCs w:val="32"/>
        </w:rPr>
      </w:pPr>
    </w:p>
    <w:p>
      <w:pPr>
        <w:spacing w:line="480" w:lineRule="exact"/>
        <w:ind w:firstLine="643" w:firstLineChars="200"/>
        <w:rPr>
          <w:rFonts w:ascii="仿宋" w:hAnsi="仿宋" w:eastAsia="仿宋"/>
          <w:b/>
          <w:sz w:val="32"/>
          <w:szCs w:val="32"/>
        </w:rPr>
      </w:pPr>
    </w:p>
    <w:p>
      <w:pPr>
        <w:spacing w:line="480" w:lineRule="exact"/>
        <w:ind w:firstLine="643" w:firstLineChars="200"/>
        <w:rPr>
          <w:rFonts w:ascii="仿宋" w:hAnsi="仿宋" w:eastAsia="仿宋"/>
          <w:b/>
          <w:sz w:val="32"/>
          <w:szCs w:val="32"/>
        </w:rPr>
      </w:pPr>
    </w:p>
    <w:p>
      <w:pPr>
        <w:spacing w:line="480" w:lineRule="exact"/>
        <w:ind w:firstLine="643" w:firstLineChars="200"/>
        <w:rPr>
          <w:rFonts w:ascii="仿宋" w:hAnsi="仿宋" w:eastAsia="仿宋"/>
          <w:b/>
          <w:sz w:val="32"/>
          <w:szCs w:val="32"/>
        </w:rPr>
      </w:pPr>
    </w:p>
    <w:p>
      <w:pPr>
        <w:spacing w:line="480" w:lineRule="exact"/>
        <w:ind w:firstLine="643" w:firstLineChars="200"/>
        <w:rPr>
          <w:rFonts w:ascii="仿宋" w:hAnsi="仿宋" w:eastAsia="仿宋"/>
          <w:b/>
          <w:sz w:val="32"/>
          <w:szCs w:val="32"/>
        </w:rPr>
      </w:pPr>
    </w:p>
    <w:p>
      <w:pPr>
        <w:spacing w:line="480" w:lineRule="exact"/>
        <w:ind w:firstLine="643" w:firstLineChars="200"/>
        <w:rPr>
          <w:rFonts w:ascii="仿宋" w:hAnsi="仿宋" w:eastAsia="仿宋"/>
          <w:b/>
          <w:sz w:val="32"/>
          <w:szCs w:val="32"/>
        </w:rPr>
      </w:pPr>
    </w:p>
    <w:p>
      <w:pPr>
        <w:spacing w:line="480" w:lineRule="exact"/>
        <w:ind w:firstLine="643" w:firstLineChars="200"/>
        <w:rPr>
          <w:rFonts w:ascii="仿宋" w:hAnsi="仿宋" w:eastAsia="仿宋"/>
          <w:b/>
          <w:sz w:val="32"/>
          <w:szCs w:val="32"/>
        </w:rPr>
      </w:pPr>
    </w:p>
    <w:p>
      <w:pPr>
        <w:spacing w:line="480" w:lineRule="exact"/>
        <w:ind w:firstLine="643" w:firstLineChars="200"/>
        <w:rPr>
          <w:rFonts w:ascii="仿宋" w:hAnsi="仿宋" w:eastAsia="仿宋"/>
          <w:b/>
          <w:sz w:val="32"/>
          <w:szCs w:val="32"/>
        </w:rPr>
      </w:pPr>
    </w:p>
    <w:p>
      <w:pPr>
        <w:spacing w:line="480" w:lineRule="exact"/>
        <w:ind w:firstLine="643" w:firstLineChars="200"/>
        <w:rPr>
          <w:rFonts w:ascii="仿宋" w:hAnsi="仿宋" w:eastAsia="仿宋"/>
          <w:b/>
          <w:sz w:val="32"/>
          <w:szCs w:val="32"/>
        </w:rPr>
      </w:pPr>
    </w:p>
    <w:p>
      <w:pPr>
        <w:spacing w:line="480" w:lineRule="exact"/>
        <w:ind w:firstLine="643" w:firstLineChars="200"/>
        <w:rPr>
          <w:rFonts w:ascii="仿宋" w:hAnsi="仿宋" w:eastAsia="仿宋"/>
          <w:b/>
          <w:sz w:val="32"/>
          <w:szCs w:val="32"/>
        </w:rPr>
      </w:pPr>
    </w:p>
    <w:p>
      <w:pPr>
        <w:spacing w:line="480" w:lineRule="exact"/>
        <w:ind w:firstLine="643" w:firstLineChars="200"/>
        <w:rPr>
          <w:rFonts w:ascii="仿宋" w:hAnsi="仿宋" w:eastAsia="仿宋"/>
          <w:b/>
          <w:sz w:val="32"/>
          <w:szCs w:val="32"/>
        </w:rPr>
      </w:pPr>
    </w:p>
    <w:p>
      <w:pPr>
        <w:spacing w:line="480" w:lineRule="exact"/>
        <w:ind w:firstLine="643" w:firstLineChars="200"/>
        <w:rPr>
          <w:rFonts w:ascii="仿宋" w:hAnsi="仿宋" w:eastAsia="仿宋"/>
          <w:b/>
          <w:sz w:val="32"/>
          <w:szCs w:val="32"/>
        </w:rPr>
      </w:pPr>
    </w:p>
    <w:p>
      <w:pPr>
        <w:spacing w:line="480" w:lineRule="exact"/>
        <w:ind w:firstLine="643" w:firstLineChars="200"/>
        <w:rPr>
          <w:rFonts w:ascii="仿宋" w:hAnsi="仿宋" w:eastAsia="仿宋"/>
          <w:b/>
          <w:sz w:val="32"/>
          <w:szCs w:val="32"/>
        </w:rPr>
      </w:pPr>
    </w:p>
    <w:p>
      <w:pPr>
        <w:spacing w:line="500" w:lineRule="exact"/>
        <w:rPr>
          <w:rFonts w:ascii="仿宋" w:hAnsi="仿宋" w:eastAsia="仿宋"/>
          <w:sz w:val="32"/>
          <w:szCs w:val="32"/>
        </w:rPr>
      </w:pPr>
    </w:p>
    <w:p>
      <w:pPr>
        <w:spacing w:line="500" w:lineRule="exact"/>
        <w:jc w:val="center"/>
        <w:rPr>
          <w:rFonts w:ascii="仿宋" w:hAnsi="仿宋" w:eastAsia="仿宋"/>
          <w:b/>
          <w:sz w:val="32"/>
          <w:szCs w:val="32"/>
        </w:rPr>
      </w:pPr>
      <w:r>
        <w:rPr>
          <w:rFonts w:hint="eastAsia" w:ascii="仿宋" w:hAnsi="仿宋" w:eastAsia="仿宋"/>
          <w:b/>
          <w:sz w:val="32"/>
          <w:szCs w:val="32"/>
        </w:rPr>
        <w:t>内江市第一人民医院</w:t>
      </w:r>
    </w:p>
    <w:p>
      <w:pPr>
        <w:spacing w:line="500" w:lineRule="exact"/>
        <w:jc w:val="center"/>
        <w:rPr>
          <w:rFonts w:ascii="仿宋" w:hAnsi="仿宋" w:eastAsia="仿宋"/>
          <w:b/>
          <w:sz w:val="32"/>
          <w:szCs w:val="32"/>
        </w:rPr>
      </w:pPr>
      <w:r>
        <w:rPr>
          <w:rFonts w:hint="eastAsia" w:ascii="仿宋" w:hAnsi="仿宋" w:eastAsia="仿宋"/>
          <w:b/>
          <w:sz w:val="32"/>
          <w:szCs w:val="32"/>
        </w:rPr>
        <w:t>新区电梯年度维保服务竞选评分细则</w:t>
      </w:r>
    </w:p>
    <w:p>
      <w:pPr>
        <w:spacing w:line="500" w:lineRule="exact"/>
        <w:jc w:val="center"/>
        <w:rPr>
          <w:rFonts w:ascii="仿宋" w:hAnsi="仿宋" w:eastAsia="仿宋"/>
          <w:b/>
          <w:sz w:val="32"/>
          <w:szCs w:val="32"/>
        </w:rPr>
      </w:pPr>
    </w:p>
    <w:tbl>
      <w:tblPr>
        <w:tblStyle w:val="6"/>
        <w:tblW w:w="10915" w:type="dxa"/>
        <w:tblInd w:w="-11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1134"/>
        <w:gridCol w:w="851"/>
        <w:gridCol w:w="6662"/>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pPr>
              <w:spacing w:line="500" w:lineRule="exact"/>
              <w:jc w:val="center"/>
              <w:rPr>
                <w:rFonts w:ascii="仿宋" w:hAnsi="仿宋" w:eastAsia="仿宋"/>
                <w:b/>
                <w:sz w:val="24"/>
                <w:szCs w:val="24"/>
              </w:rPr>
            </w:pPr>
            <w:r>
              <w:rPr>
                <w:rFonts w:hint="eastAsia" w:ascii="仿宋" w:hAnsi="仿宋" w:eastAsia="仿宋"/>
                <w:b/>
                <w:sz w:val="24"/>
                <w:szCs w:val="24"/>
              </w:rPr>
              <w:t>序号</w:t>
            </w:r>
          </w:p>
        </w:tc>
        <w:tc>
          <w:tcPr>
            <w:tcW w:w="1134" w:type="dxa"/>
            <w:vAlign w:val="center"/>
          </w:tcPr>
          <w:p>
            <w:pPr>
              <w:spacing w:line="500" w:lineRule="exact"/>
              <w:jc w:val="center"/>
              <w:rPr>
                <w:rFonts w:ascii="仿宋" w:hAnsi="仿宋" w:eastAsia="仿宋"/>
                <w:b/>
                <w:sz w:val="24"/>
                <w:szCs w:val="24"/>
              </w:rPr>
            </w:pPr>
            <w:r>
              <w:rPr>
                <w:rFonts w:hint="eastAsia" w:ascii="仿宋" w:hAnsi="仿宋" w:eastAsia="仿宋"/>
                <w:b/>
                <w:sz w:val="24"/>
                <w:szCs w:val="24"/>
              </w:rPr>
              <w:t>评分</w:t>
            </w:r>
          </w:p>
          <w:p>
            <w:pPr>
              <w:spacing w:line="500" w:lineRule="exact"/>
              <w:jc w:val="center"/>
              <w:rPr>
                <w:rFonts w:ascii="仿宋" w:hAnsi="仿宋" w:eastAsia="仿宋"/>
                <w:b/>
                <w:sz w:val="24"/>
                <w:szCs w:val="24"/>
              </w:rPr>
            </w:pPr>
            <w:r>
              <w:rPr>
                <w:rFonts w:hint="eastAsia" w:ascii="仿宋" w:hAnsi="仿宋" w:eastAsia="仿宋"/>
                <w:b/>
                <w:sz w:val="24"/>
                <w:szCs w:val="24"/>
              </w:rPr>
              <w:t>项目</w:t>
            </w:r>
          </w:p>
        </w:tc>
        <w:tc>
          <w:tcPr>
            <w:tcW w:w="851" w:type="dxa"/>
            <w:vAlign w:val="center"/>
          </w:tcPr>
          <w:p>
            <w:pPr>
              <w:spacing w:line="500" w:lineRule="exact"/>
              <w:jc w:val="center"/>
              <w:rPr>
                <w:rFonts w:ascii="仿宋" w:hAnsi="仿宋" w:eastAsia="仿宋"/>
                <w:b/>
                <w:sz w:val="24"/>
                <w:szCs w:val="24"/>
              </w:rPr>
            </w:pPr>
            <w:r>
              <w:rPr>
                <w:rFonts w:hint="eastAsia" w:ascii="仿宋" w:hAnsi="仿宋" w:eastAsia="仿宋"/>
                <w:b/>
                <w:sz w:val="24"/>
                <w:szCs w:val="24"/>
              </w:rPr>
              <w:t>单项分值</w:t>
            </w:r>
          </w:p>
        </w:tc>
        <w:tc>
          <w:tcPr>
            <w:tcW w:w="6662" w:type="dxa"/>
            <w:vAlign w:val="center"/>
          </w:tcPr>
          <w:p>
            <w:pPr>
              <w:spacing w:line="500" w:lineRule="exact"/>
              <w:jc w:val="center"/>
              <w:rPr>
                <w:rFonts w:ascii="仿宋" w:hAnsi="仿宋" w:eastAsia="仿宋"/>
                <w:b/>
                <w:sz w:val="24"/>
                <w:szCs w:val="24"/>
              </w:rPr>
            </w:pPr>
            <w:r>
              <w:rPr>
                <w:rFonts w:hint="eastAsia" w:ascii="仿宋" w:hAnsi="仿宋" w:eastAsia="仿宋"/>
                <w:b/>
                <w:sz w:val="24"/>
                <w:szCs w:val="24"/>
              </w:rPr>
              <w:t>评分内容</w:t>
            </w:r>
          </w:p>
        </w:tc>
        <w:tc>
          <w:tcPr>
            <w:tcW w:w="1559" w:type="dxa"/>
            <w:vAlign w:val="center"/>
          </w:tcPr>
          <w:p>
            <w:pPr>
              <w:spacing w:line="500" w:lineRule="exact"/>
              <w:ind w:firstLine="241" w:firstLineChars="100"/>
              <w:rPr>
                <w:rFonts w:ascii="仿宋" w:hAnsi="仿宋" w:eastAsia="仿宋"/>
                <w:b/>
                <w:sz w:val="24"/>
                <w:szCs w:val="24"/>
              </w:rPr>
            </w:pPr>
            <w:r>
              <w:rPr>
                <w:rFonts w:hint="eastAsia" w:ascii="仿宋" w:hAnsi="仿宋" w:eastAsia="仿宋"/>
                <w:b/>
                <w:sz w:val="24"/>
                <w:szCs w:val="24"/>
              </w:rPr>
              <w:t>评审因素</w:t>
            </w:r>
          </w:p>
          <w:p>
            <w:pPr>
              <w:spacing w:line="500" w:lineRule="exact"/>
              <w:jc w:val="center"/>
              <w:rPr>
                <w:rFonts w:ascii="仿宋" w:hAnsi="仿宋" w:eastAsia="仿宋"/>
                <w:b/>
                <w:sz w:val="24"/>
                <w:szCs w:val="24"/>
              </w:rPr>
            </w:pPr>
            <w:r>
              <w:rPr>
                <w:rFonts w:hint="eastAsia" w:ascii="仿宋" w:hAnsi="仿宋" w:eastAsia="仿宋"/>
                <w:b/>
                <w:sz w:val="24"/>
                <w:szCs w:val="24"/>
              </w:rPr>
              <w:t>（单项得分）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pPr>
              <w:spacing w:line="500" w:lineRule="exact"/>
              <w:jc w:val="center"/>
              <w:rPr>
                <w:rFonts w:ascii="仿宋" w:hAnsi="仿宋" w:eastAsia="仿宋"/>
                <w:sz w:val="24"/>
                <w:szCs w:val="24"/>
              </w:rPr>
            </w:pPr>
            <w:r>
              <w:rPr>
                <w:rFonts w:hint="eastAsia" w:ascii="仿宋" w:hAnsi="仿宋" w:eastAsia="仿宋"/>
                <w:sz w:val="24"/>
                <w:szCs w:val="24"/>
              </w:rPr>
              <w:t>1</w:t>
            </w:r>
          </w:p>
        </w:tc>
        <w:tc>
          <w:tcPr>
            <w:tcW w:w="1134" w:type="dxa"/>
            <w:vAlign w:val="center"/>
          </w:tcPr>
          <w:p>
            <w:pPr>
              <w:spacing w:line="500" w:lineRule="exact"/>
              <w:jc w:val="center"/>
              <w:rPr>
                <w:rFonts w:ascii="仿宋" w:hAnsi="仿宋" w:eastAsia="仿宋"/>
                <w:sz w:val="24"/>
                <w:szCs w:val="24"/>
              </w:rPr>
            </w:pPr>
            <w:r>
              <w:rPr>
                <w:rFonts w:hint="eastAsia" w:ascii="仿宋" w:hAnsi="仿宋" w:eastAsia="仿宋"/>
                <w:sz w:val="24"/>
                <w:szCs w:val="24"/>
              </w:rPr>
              <w:t>报价</w:t>
            </w:r>
          </w:p>
          <w:p>
            <w:pPr>
              <w:spacing w:line="500" w:lineRule="exact"/>
              <w:jc w:val="center"/>
              <w:rPr>
                <w:rFonts w:ascii="仿宋" w:hAnsi="仿宋" w:eastAsia="仿宋"/>
                <w:sz w:val="24"/>
                <w:szCs w:val="24"/>
              </w:rPr>
            </w:pPr>
            <w:r>
              <w:rPr>
                <w:rFonts w:hint="eastAsia" w:ascii="仿宋" w:hAnsi="仿宋" w:eastAsia="仿宋"/>
                <w:sz w:val="24"/>
                <w:szCs w:val="24"/>
              </w:rPr>
              <w:t>20%</w:t>
            </w:r>
          </w:p>
        </w:tc>
        <w:tc>
          <w:tcPr>
            <w:tcW w:w="851" w:type="dxa"/>
            <w:vAlign w:val="center"/>
          </w:tcPr>
          <w:p>
            <w:pPr>
              <w:spacing w:line="500" w:lineRule="exact"/>
              <w:jc w:val="center"/>
              <w:rPr>
                <w:rFonts w:ascii="仿宋" w:hAnsi="仿宋" w:eastAsia="仿宋"/>
                <w:sz w:val="24"/>
                <w:szCs w:val="24"/>
              </w:rPr>
            </w:pPr>
            <w:r>
              <w:rPr>
                <w:rFonts w:hint="eastAsia" w:ascii="仿宋" w:hAnsi="仿宋" w:eastAsia="仿宋"/>
                <w:sz w:val="24"/>
                <w:szCs w:val="24"/>
              </w:rPr>
              <w:t>20分</w:t>
            </w:r>
          </w:p>
        </w:tc>
        <w:tc>
          <w:tcPr>
            <w:tcW w:w="6662" w:type="dxa"/>
          </w:tcPr>
          <w:p>
            <w:pPr>
              <w:spacing w:line="500" w:lineRule="exact"/>
              <w:ind w:firstLine="480" w:firstLineChars="200"/>
              <w:jc w:val="left"/>
              <w:rPr>
                <w:rFonts w:ascii="仿宋" w:hAnsi="仿宋" w:eastAsia="仿宋"/>
                <w:sz w:val="24"/>
                <w:szCs w:val="24"/>
              </w:rPr>
            </w:pPr>
            <w:r>
              <w:rPr>
                <w:rFonts w:hint="eastAsia" w:ascii="仿宋" w:hAnsi="仿宋" w:eastAsia="仿宋"/>
                <w:sz w:val="24"/>
                <w:szCs w:val="24"/>
              </w:rPr>
              <w:t>以满足竞选文件要求且竞选价格最低的竞选报价为基准价，竞选报价分值=（基准价÷竞选报价）×20（保留两位小数）</w:t>
            </w:r>
          </w:p>
        </w:tc>
        <w:tc>
          <w:tcPr>
            <w:tcW w:w="1559" w:type="dxa"/>
            <w:vAlign w:val="center"/>
          </w:tcPr>
          <w:p>
            <w:pPr>
              <w:spacing w:line="500" w:lineRule="exact"/>
              <w:jc w:val="center"/>
              <w:rPr>
                <w:rFonts w:ascii="仿宋" w:hAnsi="仿宋" w:eastAsia="仿宋"/>
                <w:sz w:val="24"/>
                <w:szCs w:val="24"/>
              </w:rPr>
            </w:pPr>
            <w:r>
              <w:rPr>
                <w:rFonts w:hint="eastAsia" w:ascii="仿宋" w:hAnsi="仿宋" w:eastAsia="仿宋"/>
                <w:sz w:val="24"/>
                <w:szCs w:val="24"/>
              </w:rPr>
              <w:t>共同评审</w:t>
            </w:r>
          </w:p>
          <w:p>
            <w:pPr>
              <w:spacing w:line="500" w:lineRule="exact"/>
              <w:jc w:val="center"/>
              <w:rPr>
                <w:rFonts w:ascii="仿宋" w:hAnsi="仿宋" w:eastAsia="仿宋"/>
                <w:sz w:val="24"/>
                <w:szCs w:val="24"/>
              </w:rPr>
            </w:pPr>
            <w:r>
              <w:rPr>
                <w:rFonts w:hint="eastAsia" w:ascii="仿宋" w:hAnsi="仿宋" w:eastAsia="仿宋"/>
                <w:sz w:val="24"/>
                <w:szCs w:val="24"/>
              </w:rPr>
              <w:t>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pPr>
              <w:spacing w:line="500" w:lineRule="exact"/>
              <w:jc w:val="center"/>
              <w:rPr>
                <w:rFonts w:ascii="仿宋" w:hAnsi="仿宋" w:eastAsia="仿宋"/>
                <w:sz w:val="24"/>
                <w:szCs w:val="24"/>
              </w:rPr>
            </w:pPr>
            <w:r>
              <w:rPr>
                <w:rFonts w:hint="eastAsia" w:ascii="仿宋" w:hAnsi="仿宋" w:eastAsia="仿宋"/>
                <w:sz w:val="24"/>
                <w:szCs w:val="24"/>
              </w:rPr>
              <w:t>2</w:t>
            </w:r>
          </w:p>
        </w:tc>
        <w:tc>
          <w:tcPr>
            <w:tcW w:w="1134" w:type="dxa"/>
            <w:vAlign w:val="center"/>
          </w:tcPr>
          <w:p>
            <w:pPr>
              <w:spacing w:line="500" w:lineRule="exact"/>
              <w:jc w:val="center"/>
              <w:rPr>
                <w:rFonts w:ascii="仿宋" w:hAnsi="仿宋" w:eastAsia="仿宋"/>
                <w:sz w:val="24"/>
                <w:szCs w:val="24"/>
              </w:rPr>
            </w:pPr>
            <w:r>
              <w:rPr>
                <w:rFonts w:hint="eastAsia" w:ascii="仿宋" w:hAnsi="仿宋" w:eastAsia="仿宋"/>
                <w:sz w:val="24"/>
                <w:szCs w:val="24"/>
              </w:rPr>
              <w:t>维保维护服务的实施方案30%</w:t>
            </w:r>
          </w:p>
        </w:tc>
        <w:tc>
          <w:tcPr>
            <w:tcW w:w="851" w:type="dxa"/>
            <w:vAlign w:val="center"/>
          </w:tcPr>
          <w:p>
            <w:pPr>
              <w:spacing w:line="500" w:lineRule="exact"/>
              <w:jc w:val="center"/>
              <w:rPr>
                <w:rFonts w:ascii="仿宋" w:hAnsi="仿宋" w:eastAsia="仿宋"/>
                <w:sz w:val="24"/>
                <w:szCs w:val="24"/>
              </w:rPr>
            </w:pPr>
            <w:r>
              <w:rPr>
                <w:rFonts w:hint="eastAsia" w:ascii="仿宋" w:hAnsi="仿宋" w:eastAsia="仿宋"/>
                <w:sz w:val="24"/>
                <w:szCs w:val="24"/>
              </w:rPr>
              <w:t>30分</w:t>
            </w:r>
          </w:p>
        </w:tc>
        <w:tc>
          <w:tcPr>
            <w:tcW w:w="6662" w:type="dxa"/>
          </w:tcPr>
          <w:p>
            <w:pPr>
              <w:spacing w:line="500" w:lineRule="exact"/>
              <w:ind w:firstLine="480" w:firstLineChars="200"/>
              <w:jc w:val="left"/>
              <w:rPr>
                <w:rFonts w:ascii="仿宋" w:hAnsi="仿宋" w:eastAsia="仿宋"/>
                <w:sz w:val="24"/>
                <w:szCs w:val="24"/>
              </w:rPr>
            </w:pPr>
            <w:r>
              <w:rPr>
                <w:rFonts w:hint="eastAsia" w:ascii="仿宋" w:hAnsi="仿宋" w:eastAsia="仿宋"/>
                <w:sz w:val="24"/>
                <w:szCs w:val="24"/>
              </w:rPr>
              <w:t>1、维保服务人员岗位责任划分明确能高于竞选项目要求的得10分：实施方案能满足项目得8分；实施方案低于项目需求的得6分；不能满足项目需求的此项得0分。</w:t>
            </w:r>
          </w:p>
          <w:p>
            <w:pPr>
              <w:spacing w:line="500" w:lineRule="exact"/>
              <w:ind w:firstLine="480" w:firstLineChars="200"/>
              <w:jc w:val="left"/>
              <w:rPr>
                <w:rFonts w:ascii="仿宋" w:hAnsi="仿宋" w:eastAsia="仿宋"/>
                <w:sz w:val="24"/>
                <w:szCs w:val="24"/>
              </w:rPr>
            </w:pPr>
            <w:r>
              <w:rPr>
                <w:rFonts w:hint="eastAsia" w:ascii="仿宋" w:hAnsi="仿宋" w:eastAsia="仿宋"/>
                <w:sz w:val="24"/>
                <w:szCs w:val="24"/>
              </w:rPr>
              <w:t>2、实施方案中的质量保证方案高于项目需求的得10分：满足需求的得8分；低于项目需求的得6分；不能满足项目需求的此项得0分。</w:t>
            </w:r>
          </w:p>
          <w:p>
            <w:pPr>
              <w:spacing w:line="500" w:lineRule="exact"/>
              <w:ind w:firstLine="480" w:firstLineChars="200"/>
              <w:jc w:val="left"/>
              <w:rPr>
                <w:rFonts w:ascii="仿宋" w:hAnsi="仿宋" w:eastAsia="仿宋"/>
                <w:sz w:val="24"/>
                <w:szCs w:val="24"/>
              </w:rPr>
            </w:pPr>
            <w:r>
              <w:rPr>
                <w:rFonts w:hint="eastAsia" w:ascii="仿宋" w:hAnsi="仿宋" w:eastAsia="仿宋"/>
                <w:sz w:val="24"/>
                <w:szCs w:val="24"/>
              </w:rPr>
              <w:t>3、实施方案中有对用户的响应以及与用户的沟通和联系等内容能高于项目需求的得10分：满足项目的需求的得8分；低于项目需求的得6分；不能满足项目需求的得0分。</w:t>
            </w:r>
          </w:p>
        </w:tc>
        <w:tc>
          <w:tcPr>
            <w:tcW w:w="1559" w:type="dxa"/>
            <w:vAlign w:val="center"/>
          </w:tcPr>
          <w:p>
            <w:pPr>
              <w:spacing w:line="500" w:lineRule="exact"/>
              <w:jc w:val="center"/>
              <w:rPr>
                <w:rFonts w:ascii="仿宋" w:hAnsi="仿宋" w:eastAsia="仿宋"/>
                <w:sz w:val="24"/>
                <w:szCs w:val="24"/>
              </w:rPr>
            </w:pPr>
            <w:r>
              <w:rPr>
                <w:rFonts w:hint="eastAsia" w:ascii="仿宋" w:hAnsi="仿宋" w:eastAsia="仿宋"/>
                <w:sz w:val="24"/>
                <w:szCs w:val="24"/>
              </w:rPr>
              <w:t>技术类评分因素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pPr>
              <w:spacing w:line="500" w:lineRule="exact"/>
              <w:jc w:val="center"/>
              <w:rPr>
                <w:rFonts w:ascii="仿宋" w:hAnsi="仿宋" w:eastAsia="仿宋"/>
                <w:sz w:val="24"/>
                <w:szCs w:val="24"/>
              </w:rPr>
            </w:pPr>
            <w:r>
              <w:rPr>
                <w:rFonts w:hint="eastAsia" w:ascii="仿宋" w:hAnsi="仿宋" w:eastAsia="仿宋"/>
                <w:sz w:val="24"/>
                <w:szCs w:val="24"/>
              </w:rPr>
              <w:t>3</w:t>
            </w:r>
          </w:p>
        </w:tc>
        <w:tc>
          <w:tcPr>
            <w:tcW w:w="1134" w:type="dxa"/>
            <w:vAlign w:val="center"/>
          </w:tcPr>
          <w:p>
            <w:pPr>
              <w:spacing w:line="500" w:lineRule="exact"/>
              <w:jc w:val="center"/>
              <w:rPr>
                <w:rFonts w:ascii="仿宋" w:hAnsi="仿宋" w:eastAsia="仿宋"/>
                <w:sz w:val="24"/>
                <w:szCs w:val="24"/>
              </w:rPr>
            </w:pPr>
            <w:r>
              <w:rPr>
                <w:rFonts w:hint="eastAsia" w:ascii="仿宋" w:hAnsi="仿宋" w:eastAsia="仿宋"/>
                <w:sz w:val="24"/>
                <w:szCs w:val="24"/>
              </w:rPr>
              <w:t>服务20%</w:t>
            </w:r>
          </w:p>
        </w:tc>
        <w:tc>
          <w:tcPr>
            <w:tcW w:w="851" w:type="dxa"/>
            <w:vAlign w:val="center"/>
          </w:tcPr>
          <w:p>
            <w:pPr>
              <w:spacing w:line="500" w:lineRule="exact"/>
              <w:jc w:val="center"/>
              <w:rPr>
                <w:rFonts w:ascii="仿宋" w:hAnsi="仿宋" w:eastAsia="仿宋"/>
                <w:sz w:val="24"/>
                <w:szCs w:val="24"/>
              </w:rPr>
            </w:pPr>
            <w:r>
              <w:rPr>
                <w:rFonts w:hint="eastAsia" w:ascii="仿宋" w:hAnsi="仿宋" w:eastAsia="仿宋"/>
                <w:sz w:val="24"/>
                <w:szCs w:val="24"/>
              </w:rPr>
              <w:t>20分</w:t>
            </w:r>
          </w:p>
        </w:tc>
        <w:tc>
          <w:tcPr>
            <w:tcW w:w="6662" w:type="dxa"/>
          </w:tcPr>
          <w:p>
            <w:pPr>
              <w:spacing w:line="500" w:lineRule="exact"/>
              <w:ind w:firstLine="480" w:firstLineChars="200"/>
              <w:jc w:val="left"/>
              <w:rPr>
                <w:rFonts w:ascii="仿宋" w:hAnsi="仿宋" w:eastAsia="仿宋"/>
                <w:sz w:val="24"/>
                <w:szCs w:val="24"/>
              </w:rPr>
            </w:pPr>
            <w:r>
              <w:rPr>
                <w:rFonts w:hint="eastAsia" w:ascii="仿宋" w:hAnsi="仿宋" w:eastAsia="仿宋"/>
                <w:sz w:val="24"/>
                <w:szCs w:val="24"/>
              </w:rPr>
              <w:t>1、可在项目地设置固定维修办公点得5分：只设有24小时固定服务电话2分;只设有移动电话的应急响应服务电话2分；只设有24小时服务投诉电话1分；只设有移动服务电话的得1分；此项最高5分。</w:t>
            </w:r>
          </w:p>
          <w:p>
            <w:pPr>
              <w:spacing w:line="500" w:lineRule="exact"/>
              <w:ind w:firstLine="480" w:firstLineChars="200"/>
              <w:jc w:val="left"/>
              <w:rPr>
                <w:rFonts w:ascii="仿宋" w:hAnsi="仿宋" w:eastAsia="仿宋"/>
                <w:sz w:val="24"/>
                <w:szCs w:val="24"/>
              </w:rPr>
            </w:pPr>
            <w:r>
              <w:rPr>
                <w:rFonts w:hint="eastAsia" w:ascii="仿宋" w:hAnsi="仿宋" w:eastAsia="仿宋"/>
                <w:sz w:val="24"/>
                <w:szCs w:val="24"/>
              </w:rPr>
              <w:t>2、人员配备10分：驻点维保人员配备优于竞选要求的得10分；符合竞选要求的得5分；少于竞选要求的得0分；此项最高10分。</w:t>
            </w:r>
          </w:p>
          <w:p>
            <w:pPr>
              <w:spacing w:line="500" w:lineRule="exact"/>
              <w:ind w:firstLine="480" w:firstLineChars="200"/>
              <w:jc w:val="left"/>
              <w:rPr>
                <w:rFonts w:ascii="仿宋" w:hAnsi="仿宋" w:eastAsia="仿宋"/>
                <w:sz w:val="24"/>
                <w:szCs w:val="24"/>
              </w:rPr>
            </w:pPr>
            <w:r>
              <w:rPr>
                <w:rFonts w:hint="eastAsia" w:ascii="仿宋" w:hAnsi="仿宋" w:eastAsia="仿宋"/>
                <w:sz w:val="24"/>
                <w:szCs w:val="24"/>
              </w:rPr>
              <w:t>3、紧急服务响应时间优于竞选要求的得5分，符合竞选要求的得3分；不符的得0分；此项最高5分。</w:t>
            </w:r>
          </w:p>
        </w:tc>
        <w:tc>
          <w:tcPr>
            <w:tcW w:w="1559" w:type="dxa"/>
            <w:vAlign w:val="center"/>
          </w:tcPr>
          <w:p>
            <w:pPr>
              <w:spacing w:line="500" w:lineRule="exact"/>
              <w:jc w:val="center"/>
              <w:rPr>
                <w:rFonts w:ascii="仿宋" w:hAnsi="仿宋" w:eastAsia="仿宋"/>
                <w:sz w:val="24"/>
                <w:szCs w:val="24"/>
              </w:rPr>
            </w:pPr>
            <w:r>
              <w:rPr>
                <w:rFonts w:hint="eastAsia" w:ascii="仿宋" w:hAnsi="仿宋" w:eastAsia="仿宋"/>
                <w:sz w:val="24"/>
                <w:szCs w:val="24"/>
              </w:rPr>
              <w:t>技术类评分因素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0" w:hRule="atLeast"/>
        </w:trPr>
        <w:tc>
          <w:tcPr>
            <w:tcW w:w="709" w:type="dxa"/>
            <w:vAlign w:val="center"/>
          </w:tcPr>
          <w:p>
            <w:pPr>
              <w:spacing w:line="500" w:lineRule="exact"/>
              <w:jc w:val="center"/>
              <w:rPr>
                <w:rFonts w:ascii="仿宋" w:hAnsi="仿宋" w:eastAsia="仿宋"/>
                <w:sz w:val="24"/>
                <w:szCs w:val="24"/>
              </w:rPr>
            </w:pPr>
            <w:r>
              <w:rPr>
                <w:rFonts w:hint="eastAsia" w:ascii="仿宋" w:hAnsi="仿宋" w:eastAsia="仿宋"/>
                <w:sz w:val="24"/>
                <w:szCs w:val="24"/>
              </w:rPr>
              <w:t>4</w:t>
            </w:r>
          </w:p>
        </w:tc>
        <w:tc>
          <w:tcPr>
            <w:tcW w:w="1134" w:type="dxa"/>
            <w:vAlign w:val="center"/>
          </w:tcPr>
          <w:p>
            <w:pPr>
              <w:spacing w:line="500" w:lineRule="exact"/>
              <w:jc w:val="center"/>
              <w:rPr>
                <w:rFonts w:ascii="仿宋" w:hAnsi="仿宋" w:eastAsia="仿宋"/>
                <w:sz w:val="24"/>
                <w:szCs w:val="24"/>
              </w:rPr>
            </w:pPr>
            <w:r>
              <w:rPr>
                <w:rFonts w:hint="eastAsia" w:ascii="仿宋" w:hAnsi="仿宋" w:eastAsia="仿宋"/>
                <w:sz w:val="24"/>
                <w:szCs w:val="24"/>
              </w:rPr>
              <w:t>履约能力15%</w:t>
            </w:r>
          </w:p>
        </w:tc>
        <w:tc>
          <w:tcPr>
            <w:tcW w:w="851" w:type="dxa"/>
            <w:vAlign w:val="center"/>
          </w:tcPr>
          <w:p>
            <w:pPr>
              <w:spacing w:line="500" w:lineRule="exact"/>
              <w:jc w:val="center"/>
              <w:rPr>
                <w:rFonts w:ascii="仿宋" w:hAnsi="仿宋" w:eastAsia="仿宋"/>
                <w:sz w:val="24"/>
                <w:szCs w:val="24"/>
              </w:rPr>
            </w:pPr>
            <w:r>
              <w:rPr>
                <w:rFonts w:hint="eastAsia" w:ascii="仿宋" w:hAnsi="仿宋" w:eastAsia="仿宋"/>
                <w:sz w:val="24"/>
                <w:szCs w:val="24"/>
              </w:rPr>
              <w:t>15分</w:t>
            </w:r>
          </w:p>
        </w:tc>
        <w:tc>
          <w:tcPr>
            <w:tcW w:w="6662" w:type="dxa"/>
          </w:tcPr>
          <w:p>
            <w:pPr>
              <w:spacing w:line="500" w:lineRule="exact"/>
              <w:jc w:val="left"/>
              <w:rPr>
                <w:rFonts w:ascii="仿宋" w:hAnsi="仿宋" w:eastAsia="仿宋"/>
                <w:sz w:val="24"/>
                <w:szCs w:val="24"/>
              </w:rPr>
            </w:pPr>
            <w:r>
              <w:rPr>
                <w:rFonts w:hint="eastAsia" w:ascii="仿宋" w:hAnsi="仿宋" w:eastAsia="仿宋"/>
                <w:sz w:val="24"/>
                <w:szCs w:val="24"/>
              </w:rPr>
              <w:t>1、根据供应商提供类似公共场所的项目业绩（2018至今）进行评定，每提供一个类似项目业绩得1分，最多得5分；</w:t>
            </w:r>
          </w:p>
          <w:p>
            <w:pPr>
              <w:spacing w:line="500" w:lineRule="exact"/>
              <w:jc w:val="left"/>
              <w:rPr>
                <w:rFonts w:ascii="仿宋" w:hAnsi="仿宋" w:eastAsia="仿宋"/>
                <w:sz w:val="24"/>
                <w:szCs w:val="24"/>
              </w:rPr>
            </w:pPr>
            <w:r>
              <w:rPr>
                <w:rFonts w:hint="eastAsia" w:ascii="仿宋" w:hAnsi="仿宋" w:eastAsia="仿宋"/>
                <w:sz w:val="24"/>
                <w:szCs w:val="24"/>
              </w:rPr>
              <w:t>2、供应商获“质量服务诚信单位AAA证书”得2.5分；</w:t>
            </w:r>
          </w:p>
          <w:p>
            <w:pPr>
              <w:spacing w:line="500" w:lineRule="exact"/>
              <w:jc w:val="left"/>
              <w:rPr>
                <w:rFonts w:ascii="仿宋" w:hAnsi="仿宋" w:eastAsia="仿宋"/>
                <w:sz w:val="24"/>
                <w:szCs w:val="24"/>
              </w:rPr>
            </w:pPr>
            <w:r>
              <w:rPr>
                <w:rFonts w:hint="eastAsia" w:ascii="仿宋" w:hAnsi="仿宋" w:eastAsia="仿宋"/>
                <w:sz w:val="24"/>
                <w:szCs w:val="24"/>
              </w:rPr>
              <w:t>3、供应商获“重合同守合同信用AAA证书”得2.5分；</w:t>
            </w:r>
          </w:p>
          <w:p>
            <w:pPr>
              <w:spacing w:line="500" w:lineRule="exact"/>
              <w:jc w:val="left"/>
              <w:rPr>
                <w:rFonts w:ascii="仿宋" w:hAnsi="仿宋" w:eastAsia="仿宋"/>
                <w:sz w:val="24"/>
                <w:szCs w:val="24"/>
              </w:rPr>
            </w:pPr>
            <w:r>
              <w:rPr>
                <w:rFonts w:hint="eastAsia" w:ascii="仿宋" w:hAnsi="仿宋" w:eastAsia="仿宋"/>
                <w:sz w:val="24"/>
                <w:szCs w:val="24"/>
              </w:rPr>
              <w:t>4、供应商获“企业信用等级AAA证书”得2.5分；</w:t>
            </w:r>
          </w:p>
          <w:p>
            <w:pPr>
              <w:spacing w:line="500" w:lineRule="exact"/>
              <w:jc w:val="left"/>
              <w:rPr>
                <w:rFonts w:ascii="仿宋" w:hAnsi="仿宋" w:eastAsia="仿宋"/>
                <w:sz w:val="24"/>
                <w:szCs w:val="24"/>
              </w:rPr>
            </w:pPr>
            <w:r>
              <w:rPr>
                <w:rFonts w:hint="eastAsia" w:ascii="仿宋" w:hAnsi="仿宋" w:eastAsia="仿宋"/>
                <w:sz w:val="24"/>
                <w:szCs w:val="24"/>
              </w:rPr>
              <w:t>5、供应商获“企业资信等级AAA证书”得2.5分。</w:t>
            </w:r>
          </w:p>
          <w:p>
            <w:pPr>
              <w:spacing w:line="500" w:lineRule="exact"/>
              <w:jc w:val="left"/>
              <w:rPr>
                <w:rFonts w:ascii="仿宋" w:hAnsi="仿宋" w:eastAsia="仿宋"/>
                <w:sz w:val="24"/>
                <w:szCs w:val="24"/>
              </w:rPr>
            </w:pPr>
            <w:r>
              <w:rPr>
                <w:rFonts w:hint="eastAsia" w:ascii="仿宋" w:hAnsi="仿宋" w:eastAsia="仿宋"/>
                <w:sz w:val="24"/>
                <w:szCs w:val="24"/>
              </w:rPr>
              <w:t>注：提供合同或者成交通知书复印件、证书复印件盖章</w:t>
            </w:r>
          </w:p>
        </w:tc>
        <w:tc>
          <w:tcPr>
            <w:tcW w:w="1559" w:type="dxa"/>
            <w:vAlign w:val="center"/>
          </w:tcPr>
          <w:p>
            <w:pPr>
              <w:spacing w:line="500" w:lineRule="exact"/>
              <w:jc w:val="center"/>
              <w:rPr>
                <w:rFonts w:ascii="仿宋" w:hAnsi="仿宋" w:eastAsia="仿宋"/>
                <w:sz w:val="24"/>
                <w:szCs w:val="24"/>
              </w:rPr>
            </w:pPr>
            <w:r>
              <w:rPr>
                <w:rFonts w:hint="eastAsia" w:ascii="仿宋" w:hAnsi="仿宋" w:eastAsia="仿宋"/>
                <w:sz w:val="24"/>
                <w:szCs w:val="24"/>
              </w:rPr>
              <w:t>共同评审</w:t>
            </w:r>
          </w:p>
          <w:p>
            <w:pPr>
              <w:spacing w:line="500" w:lineRule="exact"/>
              <w:jc w:val="center"/>
              <w:rPr>
                <w:rFonts w:ascii="仿宋" w:hAnsi="仿宋" w:eastAsia="仿宋"/>
                <w:sz w:val="24"/>
                <w:szCs w:val="24"/>
              </w:rPr>
            </w:pPr>
            <w:r>
              <w:rPr>
                <w:rFonts w:hint="eastAsia" w:ascii="仿宋" w:hAnsi="仿宋" w:eastAsia="仿宋"/>
                <w:sz w:val="24"/>
                <w:szCs w:val="24"/>
              </w:rPr>
              <w:t>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pPr>
              <w:spacing w:line="500" w:lineRule="exact"/>
              <w:jc w:val="center"/>
              <w:rPr>
                <w:rFonts w:ascii="仿宋" w:hAnsi="仿宋" w:eastAsia="仿宋"/>
                <w:sz w:val="24"/>
                <w:szCs w:val="24"/>
              </w:rPr>
            </w:pPr>
            <w:r>
              <w:rPr>
                <w:rFonts w:hint="eastAsia" w:ascii="仿宋" w:hAnsi="仿宋" w:eastAsia="仿宋"/>
                <w:sz w:val="24"/>
                <w:szCs w:val="24"/>
              </w:rPr>
              <w:t>5</w:t>
            </w:r>
          </w:p>
        </w:tc>
        <w:tc>
          <w:tcPr>
            <w:tcW w:w="1134" w:type="dxa"/>
            <w:vAlign w:val="center"/>
          </w:tcPr>
          <w:p>
            <w:pPr>
              <w:spacing w:line="500" w:lineRule="exact"/>
              <w:jc w:val="center"/>
              <w:rPr>
                <w:rFonts w:ascii="仿宋" w:hAnsi="仿宋" w:eastAsia="仿宋"/>
                <w:sz w:val="24"/>
                <w:szCs w:val="24"/>
              </w:rPr>
            </w:pPr>
            <w:r>
              <w:rPr>
                <w:rFonts w:hint="eastAsia" w:ascii="仿宋" w:hAnsi="仿宋" w:eastAsia="仿宋"/>
                <w:sz w:val="24"/>
                <w:szCs w:val="24"/>
              </w:rPr>
              <w:t>应急预案13%</w:t>
            </w:r>
          </w:p>
        </w:tc>
        <w:tc>
          <w:tcPr>
            <w:tcW w:w="851" w:type="dxa"/>
            <w:vAlign w:val="center"/>
          </w:tcPr>
          <w:p>
            <w:pPr>
              <w:spacing w:line="500" w:lineRule="exact"/>
              <w:jc w:val="center"/>
              <w:rPr>
                <w:rFonts w:ascii="仿宋" w:hAnsi="仿宋" w:eastAsia="仿宋"/>
                <w:sz w:val="24"/>
                <w:szCs w:val="24"/>
              </w:rPr>
            </w:pPr>
            <w:r>
              <w:rPr>
                <w:rFonts w:hint="eastAsia" w:ascii="仿宋" w:hAnsi="仿宋" w:eastAsia="仿宋"/>
                <w:sz w:val="24"/>
                <w:szCs w:val="24"/>
              </w:rPr>
              <w:t>13分</w:t>
            </w:r>
          </w:p>
        </w:tc>
        <w:tc>
          <w:tcPr>
            <w:tcW w:w="6662" w:type="dxa"/>
          </w:tcPr>
          <w:p>
            <w:pPr>
              <w:spacing w:line="500" w:lineRule="exact"/>
              <w:ind w:firstLine="480" w:firstLineChars="200"/>
              <w:jc w:val="left"/>
              <w:rPr>
                <w:rFonts w:ascii="仿宋" w:hAnsi="仿宋" w:eastAsia="仿宋"/>
                <w:sz w:val="24"/>
                <w:szCs w:val="24"/>
              </w:rPr>
            </w:pPr>
            <w:r>
              <w:rPr>
                <w:rFonts w:hint="eastAsia" w:ascii="仿宋" w:hAnsi="仿宋" w:eastAsia="仿宋"/>
                <w:sz w:val="24"/>
                <w:szCs w:val="24"/>
              </w:rPr>
              <w:t>针对竞选项目的应急保障需要，建立完善的应急服务预案，有明确的应急措施，困人后保证在竞选规定时间内到达现场施救，电梯故障及时处理问题，高于竞选项目实际需求，得13分；完全满足竞选项目实际需求，得8分；有一项细微偏差扣1分，直至该项分值扣完为止，没有应急预案不得分。</w:t>
            </w:r>
          </w:p>
        </w:tc>
        <w:tc>
          <w:tcPr>
            <w:tcW w:w="1559" w:type="dxa"/>
            <w:vAlign w:val="center"/>
          </w:tcPr>
          <w:p>
            <w:pPr>
              <w:spacing w:line="500" w:lineRule="exact"/>
              <w:jc w:val="center"/>
              <w:rPr>
                <w:rFonts w:ascii="仿宋" w:hAnsi="仿宋" w:eastAsia="仿宋"/>
                <w:sz w:val="24"/>
                <w:szCs w:val="24"/>
              </w:rPr>
            </w:pPr>
            <w:r>
              <w:rPr>
                <w:rFonts w:hint="eastAsia" w:ascii="仿宋" w:hAnsi="仿宋" w:eastAsia="仿宋"/>
                <w:sz w:val="24"/>
                <w:szCs w:val="24"/>
              </w:rPr>
              <w:t>技术类评分因素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pPr>
              <w:spacing w:line="500" w:lineRule="exact"/>
              <w:jc w:val="center"/>
              <w:rPr>
                <w:rFonts w:ascii="仿宋" w:hAnsi="仿宋" w:eastAsia="仿宋"/>
                <w:sz w:val="24"/>
                <w:szCs w:val="24"/>
              </w:rPr>
            </w:pPr>
            <w:r>
              <w:rPr>
                <w:rFonts w:hint="eastAsia" w:ascii="仿宋" w:hAnsi="仿宋" w:eastAsia="仿宋"/>
                <w:sz w:val="24"/>
                <w:szCs w:val="24"/>
              </w:rPr>
              <w:t>6</w:t>
            </w:r>
          </w:p>
        </w:tc>
        <w:tc>
          <w:tcPr>
            <w:tcW w:w="1134" w:type="dxa"/>
            <w:vAlign w:val="center"/>
          </w:tcPr>
          <w:p>
            <w:pPr>
              <w:spacing w:line="500" w:lineRule="exact"/>
              <w:jc w:val="center"/>
              <w:rPr>
                <w:rFonts w:ascii="仿宋" w:hAnsi="仿宋" w:eastAsia="仿宋"/>
                <w:sz w:val="24"/>
                <w:szCs w:val="24"/>
              </w:rPr>
            </w:pPr>
            <w:r>
              <w:rPr>
                <w:rFonts w:hint="eastAsia" w:ascii="仿宋" w:hAnsi="仿宋" w:eastAsia="仿宋"/>
                <w:sz w:val="24"/>
                <w:szCs w:val="24"/>
              </w:rPr>
              <w:t>竞选文件制作规范2%</w:t>
            </w:r>
          </w:p>
        </w:tc>
        <w:tc>
          <w:tcPr>
            <w:tcW w:w="851" w:type="dxa"/>
            <w:vAlign w:val="center"/>
          </w:tcPr>
          <w:p>
            <w:pPr>
              <w:spacing w:line="500" w:lineRule="exact"/>
              <w:jc w:val="center"/>
              <w:rPr>
                <w:rFonts w:ascii="仿宋" w:hAnsi="仿宋" w:eastAsia="仿宋"/>
                <w:sz w:val="24"/>
                <w:szCs w:val="24"/>
              </w:rPr>
            </w:pPr>
            <w:r>
              <w:rPr>
                <w:rFonts w:hint="eastAsia" w:ascii="仿宋" w:hAnsi="仿宋" w:eastAsia="仿宋"/>
                <w:sz w:val="24"/>
                <w:szCs w:val="24"/>
              </w:rPr>
              <w:t>2分</w:t>
            </w:r>
          </w:p>
        </w:tc>
        <w:tc>
          <w:tcPr>
            <w:tcW w:w="6662" w:type="dxa"/>
          </w:tcPr>
          <w:p>
            <w:pPr>
              <w:spacing w:line="500" w:lineRule="exact"/>
              <w:ind w:firstLine="480" w:firstLineChars="200"/>
              <w:jc w:val="left"/>
              <w:rPr>
                <w:rFonts w:ascii="仿宋" w:hAnsi="仿宋" w:eastAsia="仿宋"/>
                <w:sz w:val="24"/>
                <w:szCs w:val="24"/>
              </w:rPr>
            </w:pPr>
            <w:r>
              <w:rPr>
                <w:rFonts w:hint="eastAsia" w:ascii="仿宋" w:hAnsi="仿宋" w:eastAsia="仿宋"/>
                <w:sz w:val="24"/>
                <w:szCs w:val="24"/>
              </w:rPr>
              <w:t>竞选文件制作规范、编制完整、格式规范、内容清晰、装订整齐等没有细微偏差情形的得2分；有一项细微偏差扣0.5分，直至该项分值扣完为止。</w:t>
            </w:r>
          </w:p>
        </w:tc>
        <w:tc>
          <w:tcPr>
            <w:tcW w:w="1559" w:type="dxa"/>
            <w:vAlign w:val="center"/>
          </w:tcPr>
          <w:p>
            <w:pPr>
              <w:spacing w:line="500" w:lineRule="exact"/>
              <w:jc w:val="center"/>
              <w:rPr>
                <w:rFonts w:ascii="仿宋" w:hAnsi="仿宋" w:eastAsia="仿宋"/>
                <w:sz w:val="24"/>
                <w:szCs w:val="24"/>
              </w:rPr>
            </w:pPr>
            <w:r>
              <w:rPr>
                <w:rFonts w:hint="eastAsia" w:ascii="仿宋" w:hAnsi="仿宋" w:eastAsia="仿宋"/>
                <w:sz w:val="24"/>
                <w:szCs w:val="24"/>
              </w:rPr>
              <w:t>共同评分</w:t>
            </w:r>
          </w:p>
          <w:p>
            <w:pPr>
              <w:spacing w:line="500" w:lineRule="exact"/>
              <w:jc w:val="center"/>
              <w:rPr>
                <w:rFonts w:ascii="仿宋" w:hAnsi="仿宋" w:eastAsia="仿宋"/>
                <w:sz w:val="24"/>
                <w:szCs w:val="24"/>
              </w:rPr>
            </w:pPr>
            <w:r>
              <w:rPr>
                <w:rFonts w:hint="eastAsia" w:ascii="仿宋" w:hAnsi="仿宋" w:eastAsia="仿宋"/>
                <w:sz w:val="24"/>
                <w:szCs w:val="24"/>
              </w:rPr>
              <w:t>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gridSpan w:val="2"/>
            <w:vAlign w:val="center"/>
          </w:tcPr>
          <w:p>
            <w:pPr>
              <w:spacing w:line="500" w:lineRule="exact"/>
              <w:jc w:val="center"/>
              <w:rPr>
                <w:rFonts w:ascii="仿宋" w:hAnsi="仿宋" w:eastAsia="仿宋"/>
                <w:b/>
                <w:sz w:val="24"/>
                <w:szCs w:val="24"/>
              </w:rPr>
            </w:pPr>
            <w:r>
              <w:rPr>
                <w:rFonts w:hint="eastAsia" w:ascii="仿宋" w:hAnsi="仿宋" w:eastAsia="仿宋"/>
                <w:b/>
                <w:sz w:val="24"/>
                <w:szCs w:val="24"/>
              </w:rPr>
              <w:t>备注</w:t>
            </w:r>
          </w:p>
        </w:tc>
        <w:tc>
          <w:tcPr>
            <w:tcW w:w="9072" w:type="dxa"/>
            <w:gridSpan w:val="3"/>
            <w:vAlign w:val="center"/>
          </w:tcPr>
          <w:p>
            <w:pPr>
              <w:spacing w:line="500" w:lineRule="exact"/>
              <w:jc w:val="center"/>
              <w:rPr>
                <w:rFonts w:ascii="仿宋" w:hAnsi="仿宋" w:eastAsia="仿宋"/>
                <w:b/>
                <w:sz w:val="24"/>
                <w:szCs w:val="24"/>
              </w:rPr>
            </w:pPr>
            <w:r>
              <w:rPr>
                <w:rFonts w:hint="eastAsia" w:ascii="仿宋" w:hAnsi="仿宋" w:eastAsia="仿宋"/>
                <w:b/>
                <w:sz w:val="24"/>
                <w:szCs w:val="24"/>
              </w:rPr>
              <w:t>评分的取值按四舍五入法，保留小数点后两位。</w:t>
            </w:r>
          </w:p>
        </w:tc>
      </w:tr>
    </w:tbl>
    <w:p>
      <w:pPr>
        <w:spacing w:line="500" w:lineRule="exact"/>
        <w:jc w:val="left"/>
        <w:rPr>
          <w:rFonts w:ascii="仿宋" w:hAnsi="仿宋" w:eastAsia="仿宋"/>
          <w:b/>
          <w:sz w:val="32"/>
          <w:szCs w:val="32"/>
        </w:rPr>
      </w:pPr>
    </w:p>
    <w:p>
      <w:pPr>
        <w:spacing w:line="500" w:lineRule="exact"/>
        <w:ind w:firstLine="640" w:firstLineChars="200"/>
        <w:rPr>
          <w:rFonts w:ascii="仿宋" w:hAnsi="仿宋" w:eastAsia="仿宋"/>
          <w:sz w:val="32"/>
          <w:szCs w:val="32"/>
        </w:rPr>
      </w:pPr>
    </w:p>
    <w:p/>
    <w:p/>
    <w:p/>
    <w:p/>
    <w:p/>
    <w:p/>
    <w:p/>
    <w:p/>
    <w:p/>
    <w:p/>
    <w:p/>
    <w:p/>
    <w:p/>
    <w:p/>
    <w:p/>
    <w:p>
      <w:pPr>
        <w:jc w:val="center"/>
        <w:rPr>
          <w:b/>
          <w:sz w:val="32"/>
          <w:szCs w:val="32"/>
        </w:rPr>
      </w:pPr>
      <w:r>
        <w:rPr>
          <w:rFonts w:hint="eastAsia"/>
          <w:b/>
          <w:sz w:val="32"/>
          <w:szCs w:val="32"/>
        </w:rPr>
        <w:t>现场踏堪证明</w:t>
      </w:r>
    </w:p>
    <w:p>
      <w:pPr>
        <w:jc w:val="center"/>
        <w:rPr>
          <w:b/>
          <w:sz w:val="32"/>
          <w:szCs w:val="32"/>
        </w:rPr>
      </w:pPr>
    </w:p>
    <w:tbl>
      <w:tblPr>
        <w:tblStyle w:val="6"/>
        <w:tblW w:w="9781"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9"/>
        <w:gridCol w:w="2798"/>
        <w:gridCol w:w="1463"/>
        <w:gridCol w:w="29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89" w:type="dxa"/>
          </w:tcPr>
          <w:p>
            <w:pPr>
              <w:jc w:val="center"/>
              <w:rPr>
                <w:sz w:val="28"/>
                <w:szCs w:val="28"/>
              </w:rPr>
            </w:pPr>
            <w:r>
              <w:rPr>
                <w:rFonts w:hint="eastAsia"/>
                <w:sz w:val="28"/>
                <w:szCs w:val="28"/>
              </w:rPr>
              <w:t>公司/单位</w:t>
            </w:r>
          </w:p>
        </w:tc>
        <w:tc>
          <w:tcPr>
            <w:tcW w:w="2798" w:type="dxa"/>
          </w:tcPr>
          <w:p>
            <w:pPr>
              <w:jc w:val="center"/>
              <w:rPr>
                <w:sz w:val="28"/>
                <w:szCs w:val="28"/>
              </w:rPr>
            </w:pPr>
            <w:r>
              <w:rPr>
                <w:rFonts w:hint="eastAsia"/>
                <w:sz w:val="28"/>
                <w:szCs w:val="28"/>
              </w:rPr>
              <w:t>踏堪项目/设备</w:t>
            </w:r>
          </w:p>
        </w:tc>
        <w:tc>
          <w:tcPr>
            <w:tcW w:w="1463" w:type="dxa"/>
          </w:tcPr>
          <w:p>
            <w:pPr>
              <w:jc w:val="center"/>
              <w:rPr>
                <w:sz w:val="28"/>
                <w:szCs w:val="28"/>
              </w:rPr>
            </w:pPr>
            <w:r>
              <w:rPr>
                <w:rFonts w:hint="eastAsia"/>
                <w:sz w:val="28"/>
                <w:szCs w:val="28"/>
              </w:rPr>
              <w:t>踏堪时间</w:t>
            </w:r>
          </w:p>
        </w:tc>
        <w:tc>
          <w:tcPr>
            <w:tcW w:w="2931" w:type="dxa"/>
          </w:tcPr>
          <w:p>
            <w:pPr>
              <w:jc w:val="center"/>
              <w:rPr>
                <w:sz w:val="28"/>
                <w:szCs w:val="28"/>
              </w:rPr>
            </w:pPr>
            <w:r>
              <w:rPr>
                <w:rFonts w:hint="eastAsia"/>
                <w:sz w:val="28"/>
                <w:szCs w:val="28"/>
              </w:rPr>
              <w:t>对接人员</w:t>
            </w:r>
            <w:r>
              <w:rPr>
                <w:sz w:val="28"/>
                <w:szCs w:val="28"/>
              </w:rPr>
              <w:t>(</w:t>
            </w:r>
            <w:r>
              <w:rPr>
                <w:rFonts w:hint="eastAsia"/>
                <w:sz w:val="28"/>
                <w:szCs w:val="28"/>
              </w:rPr>
              <w:t>签字</w:t>
            </w:r>
            <w:r>
              <w:rPr>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7" w:hRule="atLeast"/>
        </w:trPr>
        <w:tc>
          <w:tcPr>
            <w:tcW w:w="2589" w:type="dxa"/>
          </w:tcPr>
          <w:p>
            <w:pPr>
              <w:jc w:val="center"/>
              <w:rPr>
                <w:sz w:val="28"/>
                <w:szCs w:val="28"/>
              </w:rPr>
            </w:pPr>
          </w:p>
        </w:tc>
        <w:tc>
          <w:tcPr>
            <w:tcW w:w="2798" w:type="dxa"/>
          </w:tcPr>
          <w:p>
            <w:pPr>
              <w:jc w:val="center"/>
              <w:rPr>
                <w:sz w:val="28"/>
                <w:szCs w:val="28"/>
              </w:rPr>
            </w:pPr>
          </w:p>
        </w:tc>
        <w:tc>
          <w:tcPr>
            <w:tcW w:w="1463" w:type="dxa"/>
          </w:tcPr>
          <w:p>
            <w:pPr>
              <w:jc w:val="center"/>
              <w:rPr>
                <w:sz w:val="28"/>
                <w:szCs w:val="28"/>
              </w:rPr>
            </w:pPr>
          </w:p>
        </w:tc>
        <w:tc>
          <w:tcPr>
            <w:tcW w:w="2931" w:type="dxa"/>
          </w:tcPr>
          <w:p>
            <w:pPr>
              <w:jc w:val="center"/>
              <w:rPr>
                <w:sz w:val="28"/>
                <w:szCs w:val="28"/>
              </w:rPr>
            </w:pPr>
          </w:p>
        </w:tc>
      </w:tr>
    </w:tbl>
    <w:p>
      <w:pPr>
        <w:rPr>
          <w:sz w:val="28"/>
          <w:szCs w:val="28"/>
        </w:rPr>
      </w:pPr>
    </w:p>
    <w:p>
      <w:pPr>
        <w:jc w:val="right"/>
        <w:rPr>
          <w:sz w:val="28"/>
          <w:szCs w:val="28"/>
        </w:rPr>
      </w:pPr>
      <w:r>
        <w:rPr>
          <w:rFonts w:hint="eastAsia"/>
          <w:sz w:val="28"/>
          <w:szCs w:val="28"/>
        </w:rPr>
        <w:t>内江市第一人民医院总务科</w:t>
      </w:r>
    </w:p>
    <w:p>
      <w:pPr>
        <w:ind w:right="420" w:firstLine="5600" w:firstLineChars="2000"/>
        <w:jc w:val="left"/>
        <w:rPr>
          <w:sz w:val="28"/>
          <w:szCs w:val="28"/>
        </w:rPr>
      </w:pPr>
      <w:r>
        <w:rPr>
          <w:rFonts w:hint="eastAsia"/>
          <w:sz w:val="28"/>
          <w:szCs w:val="28"/>
        </w:rPr>
        <w:t>（科室盖章有效）</w:t>
      </w:r>
    </w:p>
    <w:p>
      <w:pPr>
        <w:jc w:val="center"/>
        <w:rPr>
          <w:b/>
          <w:sz w:val="32"/>
          <w:szCs w:val="32"/>
        </w:rPr>
      </w:pPr>
    </w:p>
    <w:p>
      <w:pPr>
        <w:jc w:val="center"/>
        <w:rPr>
          <w:b/>
          <w:sz w:val="32"/>
          <w:szCs w:val="32"/>
        </w:rPr>
      </w:pPr>
    </w:p>
    <w:p>
      <w:pPr>
        <w:jc w:val="center"/>
        <w:rPr>
          <w:b/>
          <w:sz w:val="32"/>
          <w:szCs w:val="32"/>
        </w:rPr>
      </w:pPr>
    </w:p>
    <w:p/>
    <w:p>
      <w:pPr>
        <w:jc w:val="center"/>
        <w:rPr>
          <w:b/>
          <w:sz w:val="32"/>
          <w:szCs w:val="32"/>
        </w:rPr>
      </w:pPr>
      <w:r>
        <w:rPr>
          <w:rFonts w:hint="eastAsia"/>
          <w:b/>
          <w:sz w:val="32"/>
          <w:szCs w:val="32"/>
        </w:rPr>
        <w:t>现场踏堪证明</w:t>
      </w:r>
    </w:p>
    <w:p>
      <w:pPr>
        <w:jc w:val="center"/>
        <w:rPr>
          <w:b/>
          <w:sz w:val="32"/>
          <w:szCs w:val="32"/>
        </w:rPr>
      </w:pPr>
    </w:p>
    <w:tbl>
      <w:tblPr>
        <w:tblStyle w:val="6"/>
        <w:tblW w:w="9781"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9"/>
        <w:gridCol w:w="2798"/>
        <w:gridCol w:w="1463"/>
        <w:gridCol w:w="29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89" w:type="dxa"/>
          </w:tcPr>
          <w:p>
            <w:pPr>
              <w:jc w:val="center"/>
              <w:rPr>
                <w:sz w:val="28"/>
                <w:szCs w:val="28"/>
              </w:rPr>
            </w:pPr>
            <w:r>
              <w:rPr>
                <w:rFonts w:hint="eastAsia"/>
                <w:sz w:val="28"/>
                <w:szCs w:val="28"/>
              </w:rPr>
              <w:t>公司/单位</w:t>
            </w:r>
          </w:p>
        </w:tc>
        <w:tc>
          <w:tcPr>
            <w:tcW w:w="2798" w:type="dxa"/>
          </w:tcPr>
          <w:p>
            <w:pPr>
              <w:jc w:val="center"/>
              <w:rPr>
                <w:sz w:val="28"/>
                <w:szCs w:val="28"/>
              </w:rPr>
            </w:pPr>
            <w:r>
              <w:rPr>
                <w:rFonts w:hint="eastAsia"/>
                <w:sz w:val="28"/>
                <w:szCs w:val="28"/>
              </w:rPr>
              <w:t>踏堪项目/设备</w:t>
            </w:r>
          </w:p>
        </w:tc>
        <w:tc>
          <w:tcPr>
            <w:tcW w:w="1463" w:type="dxa"/>
          </w:tcPr>
          <w:p>
            <w:pPr>
              <w:jc w:val="center"/>
              <w:rPr>
                <w:sz w:val="28"/>
                <w:szCs w:val="28"/>
              </w:rPr>
            </w:pPr>
            <w:r>
              <w:rPr>
                <w:rFonts w:hint="eastAsia"/>
                <w:sz w:val="28"/>
                <w:szCs w:val="28"/>
              </w:rPr>
              <w:t>踏堪时间</w:t>
            </w:r>
          </w:p>
        </w:tc>
        <w:tc>
          <w:tcPr>
            <w:tcW w:w="2931" w:type="dxa"/>
          </w:tcPr>
          <w:p>
            <w:pPr>
              <w:jc w:val="center"/>
              <w:rPr>
                <w:sz w:val="28"/>
                <w:szCs w:val="28"/>
              </w:rPr>
            </w:pPr>
            <w:r>
              <w:rPr>
                <w:rFonts w:hint="eastAsia"/>
                <w:sz w:val="28"/>
                <w:szCs w:val="28"/>
              </w:rPr>
              <w:t>对接人员</w:t>
            </w:r>
            <w:r>
              <w:rPr>
                <w:sz w:val="28"/>
                <w:szCs w:val="28"/>
              </w:rPr>
              <w:t>(</w:t>
            </w:r>
            <w:r>
              <w:rPr>
                <w:rFonts w:hint="eastAsia"/>
                <w:sz w:val="28"/>
                <w:szCs w:val="28"/>
              </w:rPr>
              <w:t>签字</w:t>
            </w:r>
            <w:r>
              <w:rPr>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7" w:hRule="atLeast"/>
        </w:trPr>
        <w:tc>
          <w:tcPr>
            <w:tcW w:w="2589" w:type="dxa"/>
          </w:tcPr>
          <w:p>
            <w:pPr>
              <w:jc w:val="center"/>
              <w:rPr>
                <w:sz w:val="28"/>
                <w:szCs w:val="28"/>
              </w:rPr>
            </w:pPr>
          </w:p>
        </w:tc>
        <w:tc>
          <w:tcPr>
            <w:tcW w:w="2798" w:type="dxa"/>
          </w:tcPr>
          <w:p>
            <w:pPr>
              <w:jc w:val="center"/>
              <w:rPr>
                <w:sz w:val="28"/>
                <w:szCs w:val="28"/>
              </w:rPr>
            </w:pPr>
          </w:p>
        </w:tc>
        <w:tc>
          <w:tcPr>
            <w:tcW w:w="1463" w:type="dxa"/>
          </w:tcPr>
          <w:p>
            <w:pPr>
              <w:jc w:val="center"/>
              <w:rPr>
                <w:sz w:val="28"/>
                <w:szCs w:val="28"/>
              </w:rPr>
            </w:pPr>
          </w:p>
        </w:tc>
        <w:tc>
          <w:tcPr>
            <w:tcW w:w="2931" w:type="dxa"/>
          </w:tcPr>
          <w:p>
            <w:pPr>
              <w:jc w:val="center"/>
              <w:rPr>
                <w:sz w:val="28"/>
                <w:szCs w:val="28"/>
              </w:rPr>
            </w:pPr>
          </w:p>
        </w:tc>
      </w:tr>
    </w:tbl>
    <w:p>
      <w:pPr>
        <w:rPr>
          <w:sz w:val="28"/>
          <w:szCs w:val="28"/>
        </w:rPr>
      </w:pPr>
    </w:p>
    <w:p>
      <w:pPr>
        <w:jc w:val="right"/>
        <w:rPr>
          <w:sz w:val="28"/>
          <w:szCs w:val="28"/>
        </w:rPr>
      </w:pPr>
      <w:r>
        <w:rPr>
          <w:rFonts w:hint="eastAsia"/>
          <w:sz w:val="28"/>
          <w:szCs w:val="28"/>
        </w:rPr>
        <w:t>内江市第一人民医院总务科</w:t>
      </w:r>
    </w:p>
    <w:p>
      <w:pPr>
        <w:ind w:right="420" w:firstLine="5600" w:firstLineChars="2000"/>
        <w:jc w:val="left"/>
        <w:rPr>
          <w:sz w:val="28"/>
          <w:szCs w:val="28"/>
        </w:rPr>
      </w:pPr>
      <w:r>
        <w:rPr>
          <w:rFonts w:hint="eastAsia"/>
          <w:sz w:val="28"/>
          <w:szCs w:val="28"/>
        </w:rPr>
        <w:t>（科室盖章有效）</w:t>
      </w:r>
    </w:p>
    <w:p>
      <w:pPr>
        <w:ind w:right="420"/>
        <w:rPr>
          <w:sz w:val="28"/>
          <w:szCs w:val="28"/>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0E30B5"/>
    <w:rsid w:val="00002495"/>
    <w:rsid w:val="0005192A"/>
    <w:rsid w:val="00052FF9"/>
    <w:rsid w:val="000E30B5"/>
    <w:rsid w:val="000E6D62"/>
    <w:rsid w:val="001F04EE"/>
    <w:rsid w:val="002D60C7"/>
    <w:rsid w:val="00393FB5"/>
    <w:rsid w:val="005F7DC4"/>
    <w:rsid w:val="009A00BF"/>
    <w:rsid w:val="00A601A1"/>
    <w:rsid w:val="139B58A4"/>
    <w:rsid w:val="483D554C"/>
    <w:rsid w:val="688B27D8"/>
    <w:rsid w:val="6CE36FFD"/>
    <w:rsid w:val="6D0F2820"/>
    <w:rsid w:val="75A64DC6"/>
    <w:rsid w:val="787212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1"/>
    <w:unhideWhenUsed/>
    <w:qFormat/>
    <w:uiPriority w:val="99"/>
    <w:pPr>
      <w:spacing w:after="120"/>
    </w:pPr>
    <w:rPr>
      <w:rFonts w:ascii="Times New Roman" w:hAnsi="Times New Roman" w:eastAsia="宋体" w:cs="Times New Roman"/>
      <w:szCs w:val="24"/>
    </w:rPr>
  </w:style>
  <w:style w:type="paragraph" w:styleId="3">
    <w:name w:val="footer"/>
    <w:basedOn w:val="1"/>
    <w:link w:val="9"/>
    <w:semiHidden/>
    <w:unhideWhenUsed/>
    <w:qFormat/>
    <w:uiPriority w:val="99"/>
    <w:pPr>
      <w:tabs>
        <w:tab w:val="center" w:pos="4153"/>
        <w:tab w:val="right" w:pos="8306"/>
      </w:tabs>
      <w:snapToGrid w:val="0"/>
      <w:jc w:val="left"/>
    </w:pPr>
    <w:rPr>
      <w:sz w:val="18"/>
      <w:szCs w:val="18"/>
    </w:rPr>
  </w:style>
  <w:style w:type="paragraph" w:styleId="4">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页眉 Char"/>
    <w:basedOn w:val="7"/>
    <w:link w:val="4"/>
    <w:semiHidden/>
    <w:qFormat/>
    <w:uiPriority w:val="99"/>
    <w:rPr>
      <w:sz w:val="18"/>
      <w:szCs w:val="18"/>
    </w:rPr>
  </w:style>
  <w:style w:type="character" w:customStyle="1" w:styleId="9">
    <w:name w:val="页脚 Char"/>
    <w:basedOn w:val="7"/>
    <w:link w:val="3"/>
    <w:semiHidden/>
    <w:qFormat/>
    <w:uiPriority w:val="99"/>
    <w:rPr>
      <w:sz w:val="18"/>
      <w:szCs w:val="18"/>
    </w:rPr>
  </w:style>
  <w:style w:type="paragraph" w:styleId="10">
    <w:name w:val="List Paragraph"/>
    <w:basedOn w:val="1"/>
    <w:qFormat/>
    <w:uiPriority w:val="1"/>
    <w:pPr>
      <w:autoSpaceDE w:val="0"/>
      <w:autoSpaceDN w:val="0"/>
      <w:spacing w:before="81"/>
      <w:ind w:left="910" w:hanging="450"/>
      <w:jc w:val="left"/>
    </w:pPr>
    <w:rPr>
      <w:rFonts w:ascii="宋体" w:hAnsi="宋体" w:eastAsia="宋体" w:cs="宋体"/>
      <w:kern w:val="0"/>
      <w:sz w:val="22"/>
      <w:lang w:val="zh-CN" w:bidi="zh-CN"/>
    </w:rPr>
  </w:style>
  <w:style w:type="character" w:customStyle="1" w:styleId="11">
    <w:name w:val="正文文本 Char"/>
    <w:basedOn w:val="7"/>
    <w:link w:val="2"/>
    <w:qFormat/>
    <w:uiPriority w:val="99"/>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8</Pages>
  <Words>560</Words>
  <Characters>3194</Characters>
  <Lines>26</Lines>
  <Paragraphs>7</Paragraphs>
  <TotalTime>3</TotalTime>
  <ScaleCrop>false</ScaleCrop>
  <LinksUpToDate>false</LinksUpToDate>
  <CharactersWithSpaces>3747</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2022-02-16T07:00:00Z</dcterms:created>
  <dc:creator>s</dc:creator>
  <cp:lastModifiedBy>adminstrator</cp:lastModifiedBy>
  <dcterms:modified xsi:type="dcterms:W3CDTF">2022-02-23T07:13:36Z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7A797F8ED24A406386CA9007C37A20C9</vt:lpwstr>
  </property>
</Properties>
</file>