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" w:cs="Times New Roman"/>
        </w:rPr>
      </w:pPr>
      <w:r>
        <w:rPr>
          <w:rFonts w:hint="default" w:ascii="Times New Roman" w:hAnsi="Times New Roman" w:eastAsia="方正小标宋" w:cs="Times New Roman"/>
        </w:rPr>
        <w:t>内江市第一人民医院</w:t>
      </w:r>
    </w:p>
    <w:p>
      <w:pPr>
        <w:pStyle w:val="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" w:cs="Times New Roman"/>
          <w:lang w:val="en-US" w:eastAsia="zh-CN"/>
        </w:rPr>
      </w:pPr>
      <w:r>
        <w:rPr>
          <w:rFonts w:hint="eastAsia" w:ascii="Times New Roman" w:hAnsi="Times New Roman" w:eastAsia="方正小标宋" w:cs="Times New Roman"/>
          <w:lang w:val="en-US" w:eastAsia="zh-CN"/>
        </w:rPr>
        <w:t>两院区锅炉房排放废气监测服务</w:t>
      </w:r>
      <w:r>
        <w:rPr>
          <w:rFonts w:hint="default" w:ascii="Times New Roman" w:hAnsi="Times New Roman" w:eastAsia="方正小标宋" w:cs="Times New Roman"/>
          <w:lang w:val="en-US" w:eastAsia="zh-CN"/>
        </w:rPr>
        <w:t>采购公告</w:t>
      </w:r>
    </w:p>
    <w:p>
      <w:pPr>
        <w:rPr>
          <w:rFonts w:hint="default"/>
          <w:lang w:val="zh-CN"/>
        </w:rPr>
      </w:pPr>
    </w:p>
    <w:p>
      <w:pPr>
        <w:widowControl/>
        <w:numPr>
          <w:ilvl w:val="0"/>
          <w:numId w:val="1"/>
        </w:numPr>
        <w:adjustRightInd w:val="0"/>
        <w:spacing w:line="240" w:lineRule="auto"/>
        <w:ind w:left="0" w:leftChars="0" w:firstLine="0" w:firstLineChars="0"/>
        <w:jc w:val="left"/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/>
        </w:rPr>
        <w:t>竞选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  <w:t>概况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Chars="0"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1.采购单位：内江市第一人民医院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Chars="0" w:firstLine="640" w:firstLineChars="200"/>
        <w:jc w:val="left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2.采购项目名称：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两院区锅炉房排放废气监测服务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Chars="0"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3.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采购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期限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：自合同签订生效之日起一年。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640" w:firstLineChars="20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.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采购项目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限价：人民币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11.55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万元。包含此次服务所需的材料、人工、运输、安装、调试等一切费用。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640" w:firstLineChars="20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中选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方式：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</w:rPr>
        <w:t>根据报价、公司资质、人员技术类别、服务能力等进行综合评比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6.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采购项目内容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及要求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：</w:t>
      </w:r>
    </w:p>
    <w:p>
      <w:pPr>
        <w:pStyle w:val="2"/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6.1根据《中华人民共和国环境保护法》等相关法律法规的要求，对我院两区锅炉房共计7台燃气锅炉的排放废气进行监测，检查我院锅炉排放废气标准是否符合排放要求，并出具上级主管部门认可的、合法的检测报告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6.2监测内容与数量：</w:t>
      </w:r>
    </w:p>
    <w:tbl>
      <w:tblPr>
        <w:tblStyle w:val="8"/>
        <w:tblW w:w="9995" w:type="dxa"/>
        <w:tblInd w:w="-791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1923"/>
        <w:gridCol w:w="1663"/>
        <w:gridCol w:w="535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</w:trPr>
        <w:tc>
          <w:tcPr>
            <w:tcW w:w="105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32"/>
                <w:szCs w:val="32"/>
                <w:lang w:val="en-US" w:eastAsia="zh-CN" w:bidi="ar-SA"/>
              </w:rPr>
              <w:t>序号</w:t>
            </w:r>
          </w:p>
        </w:tc>
        <w:tc>
          <w:tcPr>
            <w:tcW w:w="192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32"/>
                <w:szCs w:val="32"/>
                <w:lang w:val="en-US" w:eastAsia="zh-CN" w:bidi="ar-SA"/>
              </w:rPr>
              <w:t>监测内容</w:t>
            </w:r>
          </w:p>
        </w:tc>
        <w:tc>
          <w:tcPr>
            <w:tcW w:w="16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32"/>
                <w:szCs w:val="32"/>
                <w:lang w:val="en-US" w:eastAsia="zh-CN" w:bidi="ar-SA"/>
              </w:rPr>
              <w:t>烟囱数量</w:t>
            </w:r>
          </w:p>
        </w:tc>
        <w:tc>
          <w:tcPr>
            <w:tcW w:w="535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1920" w:firstLineChars="600"/>
              <w:jc w:val="both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32"/>
                <w:szCs w:val="32"/>
                <w:lang w:val="en-US" w:eastAsia="zh-CN" w:bidi="ar-SA"/>
              </w:rPr>
              <w:t>备   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</w:trPr>
        <w:tc>
          <w:tcPr>
            <w:tcW w:w="105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32"/>
                <w:szCs w:val="32"/>
                <w:lang w:val="en-US" w:eastAsia="zh-CN" w:bidi="ar-SA"/>
              </w:rPr>
              <w:t>1</w:t>
            </w:r>
          </w:p>
        </w:tc>
        <w:tc>
          <w:tcPr>
            <w:tcW w:w="192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32"/>
                <w:szCs w:val="32"/>
                <w:lang w:val="en-US" w:eastAsia="zh-CN" w:bidi="ar-SA"/>
              </w:rPr>
              <w:t>氮氧化物</w:t>
            </w:r>
          </w:p>
        </w:tc>
        <w:tc>
          <w:tcPr>
            <w:tcW w:w="16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32"/>
                <w:szCs w:val="32"/>
                <w:lang w:val="en-US" w:eastAsia="zh-CN" w:bidi="ar-SA"/>
              </w:rPr>
              <w:t>7</w:t>
            </w:r>
          </w:p>
        </w:tc>
        <w:tc>
          <w:tcPr>
            <w:tcW w:w="535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32"/>
                <w:szCs w:val="32"/>
                <w:lang w:val="en-US" w:eastAsia="zh-CN" w:bidi="ar-SA"/>
              </w:rPr>
              <w:t>按监测要求每月1次，全年84次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105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32"/>
                <w:szCs w:val="32"/>
                <w:lang w:val="en-US" w:eastAsia="zh-CN" w:bidi="ar-SA"/>
              </w:rPr>
              <w:t>2</w:t>
            </w:r>
          </w:p>
        </w:tc>
        <w:tc>
          <w:tcPr>
            <w:tcW w:w="192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32"/>
                <w:szCs w:val="32"/>
                <w:lang w:val="en-US" w:eastAsia="zh-CN" w:bidi="ar-SA"/>
              </w:rPr>
              <w:t>二氧化硫</w:t>
            </w:r>
          </w:p>
        </w:tc>
        <w:tc>
          <w:tcPr>
            <w:tcW w:w="16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32"/>
                <w:szCs w:val="32"/>
                <w:lang w:val="en-US" w:eastAsia="zh-CN" w:bidi="ar-SA"/>
              </w:rPr>
              <w:t>7</w:t>
            </w:r>
          </w:p>
        </w:tc>
        <w:tc>
          <w:tcPr>
            <w:tcW w:w="535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32"/>
                <w:szCs w:val="32"/>
                <w:lang w:val="en-US" w:eastAsia="zh-CN" w:bidi="ar-SA"/>
              </w:rPr>
              <w:t>按监测要求每年1次，全年7次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105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32"/>
                <w:szCs w:val="32"/>
                <w:lang w:val="en-US" w:eastAsia="zh-CN" w:bidi="ar-SA"/>
              </w:rPr>
              <w:t>3</w:t>
            </w:r>
          </w:p>
        </w:tc>
        <w:tc>
          <w:tcPr>
            <w:tcW w:w="192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32"/>
                <w:szCs w:val="32"/>
                <w:lang w:val="en-US" w:eastAsia="zh-CN" w:bidi="ar-SA"/>
              </w:rPr>
              <w:t>颗粒物</w:t>
            </w:r>
          </w:p>
        </w:tc>
        <w:tc>
          <w:tcPr>
            <w:tcW w:w="16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32"/>
                <w:szCs w:val="32"/>
                <w:lang w:val="en-US" w:eastAsia="zh-CN" w:bidi="ar-SA"/>
              </w:rPr>
              <w:t>7</w:t>
            </w:r>
          </w:p>
        </w:tc>
        <w:tc>
          <w:tcPr>
            <w:tcW w:w="535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32"/>
                <w:szCs w:val="32"/>
                <w:lang w:val="en-US" w:eastAsia="zh-CN" w:bidi="ar-SA"/>
              </w:rPr>
              <w:t>按监测要求每年1次，全年7次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105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32"/>
                <w:szCs w:val="32"/>
                <w:lang w:val="en-US" w:eastAsia="zh-CN" w:bidi="ar-SA"/>
              </w:rPr>
              <w:t>4</w:t>
            </w:r>
          </w:p>
        </w:tc>
        <w:tc>
          <w:tcPr>
            <w:tcW w:w="192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32"/>
                <w:szCs w:val="32"/>
                <w:lang w:val="en-US" w:eastAsia="zh-CN" w:bidi="ar-SA"/>
              </w:rPr>
              <w:t>林格曼黑度</w:t>
            </w:r>
          </w:p>
        </w:tc>
        <w:tc>
          <w:tcPr>
            <w:tcW w:w="16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32"/>
                <w:szCs w:val="32"/>
                <w:lang w:val="en-US" w:eastAsia="zh-CN" w:bidi="ar-SA"/>
              </w:rPr>
              <w:t>7</w:t>
            </w:r>
          </w:p>
        </w:tc>
        <w:tc>
          <w:tcPr>
            <w:tcW w:w="535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32"/>
                <w:szCs w:val="32"/>
                <w:lang w:val="en-US" w:eastAsia="zh-CN" w:bidi="ar-SA"/>
              </w:rPr>
              <w:t>按监测要求每年1次，全年7次</w:t>
            </w:r>
          </w:p>
        </w:tc>
      </w:tr>
    </w:tbl>
    <w:p>
      <w:pPr>
        <w:spacing w:line="240" w:lineRule="auto"/>
        <w:ind w:left="0" w:leftChars="0" w:firstLine="0" w:firstLineChars="0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</w:rPr>
        <w:t>二、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lang w:eastAsia="zh-CN"/>
        </w:rPr>
        <w:t>供应商资格要求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0" w:leftChars="0" w:firstLine="640" w:firstLineChars="200"/>
        <w:textAlignment w:val="auto"/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lang w:val="en-US" w:eastAsia="zh-CN"/>
        </w:rPr>
        <w:t>1.法定条件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0" w:leftChars="0" w:firstLine="640" w:firstLineChars="200"/>
        <w:textAlignment w:val="auto"/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</w:rPr>
        <w:t>参加本次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lang w:eastAsia="zh-CN"/>
        </w:rPr>
        <w:t>采购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</w:rPr>
        <w:t>的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lang w:eastAsia="zh-CN"/>
        </w:rPr>
        <w:t>供应商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</w:rPr>
        <w:t>应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lang w:eastAsia="zh-CN"/>
        </w:rPr>
        <w:t>符合《中华人民共和国采购法》第二十二条规定的条件。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1.1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具有独立承担民事责任的能力；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1.2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具有良好的商业信誉和健全的财务会计制度；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1.3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具有履行合同所必需的设备和专业技术能力；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1.4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有依法缴纳税收和社会保障资金的良好记录；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1.5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参加政府采购活动前三年内，在经营活动中没有重大违法记录；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1.6.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法律、行政法规规定的其他条件。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lang w:val="zh-CN" w:eastAsia="zh-CN"/>
        </w:rPr>
        <w:t>三、竞选文件要求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1.供应商报送的竞选资料、项目报价表须加盖公章。除项目报价表以外的资质文件须采用胶装方式装订成册，不得散装或者合页装订，并加盖骑缝章，否则视为无效竞选。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2.竞选文件包括但不限于经办人委托书、经办人身份证复印件、营业执照等，须加盖竞选供应商鲜章。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3.供应商须提供服务承诺函。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4.竞选所报价格必须包括维修、安装、调试、人工、应急服务、税金等全部费用。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.供应商需提供此次项目的分项报价明细，说明报价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组成部分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/>
          <w:lang w:val="zh-CN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6.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所有竞选文件（包括报价单）必须密封并在封口处加盖骑缝章，不接受未按要求密封的竞选资料。竞选资料必须齐全，复印件须加盖竞选供应商鲜章。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四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、响应文件提交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3" w:firstLineChars="200"/>
        <w:textAlignment w:val="auto"/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响应文件提交方式：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电子邮件发送加盖鲜章的PDF格式电子扫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描件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电子邮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箱：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</w:rPr>
        <w:t>njyyjss@163.com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邮件主题：一院XXX采购项目——XX公司。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3" w:firstLineChars="200"/>
        <w:textAlignment w:val="auto"/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响应文件提交截止时间：2022年12月6日17时（北京时间）。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逾期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送达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或不符合采购文件相关规定的响应文件恕不接受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，此次采购不接受邮寄的响应文件。</w:t>
      </w:r>
    </w:p>
    <w:p>
      <w:pPr>
        <w:pStyle w:val="3"/>
        <w:numPr>
          <w:ilvl w:val="0"/>
          <w:numId w:val="3"/>
        </w:numPr>
        <w:rPr>
          <w:rFonts w:hint="eastAsia" w:ascii="Times New Roman" w:hAnsi="Times New Roman" w:eastAsia="仿宋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采购时间、地点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时间：</w:t>
      </w: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2022</w:t>
      </w:r>
      <w:r>
        <w:rPr>
          <w:rFonts w:hint="default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年</w:t>
      </w: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12</w:t>
      </w:r>
      <w:r>
        <w:rPr>
          <w:rFonts w:hint="default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月</w:t>
      </w: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7</w:t>
      </w:r>
      <w:r>
        <w:rPr>
          <w:rFonts w:hint="default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日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10</w:t>
      </w: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时（北京时间）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地点：采用院内电子评审方式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3" w:firstLineChars="200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color w:val="auto"/>
          <w:sz w:val="32"/>
          <w:szCs w:val="32"/>
          <w:u w:val="none"/>
          <w:lang w:eastAsia="zh-CN"/>
        </w:rPr>
        <w:t>二次报价方式：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u w:val="none"/>
        </w:rPr>
        <w:t>通过初步审查的供应商，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u w:val="none"/>
          <w:lang w:val="en-US" w:eastAsia="zh-CN"/>
        </w:rPr>
        <w:t>在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u w:val="none"/>
        </w:rPr>
        <w:t>采购当天收到报价电话后，需立即提供加盖鲜章并签字的二次报价单，以PDF格式电子扫描件发送至njyyjss@163.com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u w:val="none"/>
          <w:lang w:eastAsia="zh-CN"/>
        </w:rPr>
        <w:t>。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u w:val="none"/>
        </w:rPr>
        <w:t>供应商最后报价不得高于之前的报价，否则将视为无效响应。</w:t>
      </w:r>
    </w:p>
    <w:p>
      <w:pPr>
        <w:pStyle w:val="3"/>
        <w:numPr>
          <w:ilvl w:val="0"/>
          <w:numId w:val="2"/>
        </w:numPr>
        <w:ind w:left="0" w:leftChars="0" w:firstLine="643" w:firstLineChars="200"/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/>
          <w:bCs/>
          <w:color w:val="auto"/>
          <w:kern w:val="2"/>
          <w:sz w:val="32"/>
          <w:szCs w:val="32"/>
          <w:u w:val="none"/>
          <w:lang w:val="en-US" w:eastAsia="zh-CN" w:bidi="ar-SA"/>
        </w:rPr>
        <w:t>结果通知方式：</w:t>
      </w:r>
      <w:r>
        <w:rPr>
          <w:rFonts w:hint="eastAsia" w:ascii="Times New Roman" w:hAnsi="Times New Roman" w:eastAsia="仿宋" w:cs="Times New Roman"/>
          <w:color w:val="auto"/>
          <w:kern w:val="2"/>
          <w:sz w:val="32"/>
          <w:szCs w:val="32"/>
          <w:u w:val="none"/>
          <w:lang w:val="en-US" w:eastAsia="zh-CN" w:bidi="ar-SA"/>
        </w:rPr>
        <w:t>以njyyjss@163.com发送中选结果至参选供应商。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六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  <w:t>、联系方式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通讯地址：内江市市中区汉安大道西段1866号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邮编：641001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组织部门：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总务</w:t>
      </w:r>
      <w:r>
        <w:rPr>
          <w:rFonts w:hint="default" w:ascii="Times New Roman" w:hAnsi="Times New Roman" w:eastAsia="仿宋" w:cs="Times New Roman"/>
          <w:sz w:val="32"/>
          <w:szCs w:val="32"/>
        </w:rPr>
        <w:t>科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联系人：谭老师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联系方式：0832-2037643，法定工作日内8：00~12：00/ 14：30~17：30（法定节假日除外）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监督部门：审计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科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联系方式：0832-2155638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邮箱：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仿宋" w:cs="Times New Roman"/>
          <w:sz w:val="32"/>
          <w:szCs w:val="32"/>
        </w:rPr>
        <w:instrText xml:space="preserve"> HYPERLINK "mailto:njyyjss@163.com" </w:instrTex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separate"/>
      </w:r>
      <w:r>
        <w:rPr>
          <w:rStyle w:val="10"/>
          <w:rFonts w:hint="default" w:ascii="Times New Roman" w:hAnsi="Times New Roman" w:eastAsia="仿宋" w:cs="Times New Roman"/>
          <w:sz w:val="32"/>
          <w:szCs w:val="32"/>
        </w:rPr>
        <w:t>njyyjss@163.com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end"/>
      </w:r>
    </w:p>
    <w:p>
      <w:pPr>
        <w:pStyle w:val="3"/>
        <w:rPr>
          <w:rFonts w:hint="default" w:ascii="Times New Roman" w:hAnsi="Times New Roman" w:cs="Times New Roman"/>
        </w:rPr>
      </w:pPr>
    </w:p>
    <w:p>
      <w:pPr>
        <w:pStyle w:val="3"/>
        <w:rPr>
          <w:rFonts w:hint="default" w:ascii="Times New Roman" w:hAnsi="Times New Roman" w:cs="Times New Roman"/>
        </w:rPr>
      </w:pPr>
    </w:p>
    <w:p>
      <w:pPr>
        <w:pStyle w:val="2"/>
        <w:ind w:firstLine="640"/>
        <w:jc w:val="center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                      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内江市第一人民医院                                             </w:t>
      </w:r>
    </w:p>
    <w:p>
      <w:pPr>
        <w:pStyle w:val="2"/>
        <w:wordWrap w:val="0"/>
        <w:ind w:firstLine="640"/>
        <w:jc w:val="right"/>
      </w:pPr>
      <w:r>
        <w:rPr>
          <w:rFonts w:hint="default" w:ascii="Times New Roman" w:hAnsi="Times New Roman" w:eastAsia="仿宋" w:cs="Times New Roman"/>
          <w:sz w:val="32"/>
          <w:szCs w:val="32"/>
        </w:rPr>
        <w:t>202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sz w:val="32"/>
          <w:szCs w:val="32"/>
        </w:rPr>
        <w:t>年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29</w:t>
      </w:r>
      <w:bookmarkStart w:id="0" w:name="_GoBack"/>
      <w:bookmarkEnd w:id="0"/>
      <w:r>
        <w:rPr>
          <w:rFonts w:hint="default" w:ascii="Times New Roman" w:hAnsi="Times New Roman" w:eastAsia="仿宋" w:cs="Times New Roman"/>
          <w:sz w:val="32"/>
          <w:szCs w:val="32"/>
        </w:rPr>
        <w:t>日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   </w:t>
      </w:r>
    </w:p>
    <w:p>
      <w:pPr>
        <w:rPr>
          <w:rFonts w:hint="eastAsia" w:ascii="宋体" w:hAnsi="宋体" w:eastAsia="宋体" w:cs="宋体"/>
          <w:lang w:eastAsia="zh-CN"/>
        </w:rPr>
      </w:pPr>
    </w:p>
    <w:p>
      <w:pPr>
        <w:pStyle w:val="2"/>
        <w:rPr>
          <w:rFonts w:hint="eastAsia" w:ascii="宋体" w:hAnsi="宋体" w:eastAsia="宋体" w:cs="宋体"/>
          <w:lang w:eastAsia="zh-CN"/>
        </w:rPr>
      </w:pPr>
    </w:p>
    <w:p>
      <w:pPr>
        <w:pStyle w:val="3"/>
        <w:rPr>
          <w:rFonts w:hint="eastAsia" w:ascii="宋体" w:hAnsi="宋体" w:eastAsia="宋体" w:cs="宋体"/>
          <w:lang w:eastAsia="zh-CN"/>
        </w:rPr>
      </w:pPr>
    </w:p>
    <w:p>
      <w:pPr>
        <w:pStyle w:val="3"/>
        <w:rPr>
          <w:rFonts w:hint="eastAsia" w:ascii="宋体" w:hAnsi="宋体" w:eastAsia="宋体" w:cs="宋体"/>
          <w:lang w:eastAsia="zh-CN"/>
        </w:rPr>
      </w:pPr>
    </w:p>
    <w:p>
      <w:pPr>
        <w:pStyle w:val="3"/>
        <w:rPr>
          <w:rFonts w:hint="eastAsia" w:ascii="宋体" w:hAnsi="宋体" w:eastAsia="宋体" w:cs="宋体"/>
          <w:lang w:eastAsia="zh-CN"/>
        </w:rPr>
      </w:pPr>
    </w:p>
    <w:p>
      <w:pPr>
        <w:rPr>
          <w:rFonts w:hint="eastAsia" w:ascii="宋体" w:hAnsi="宋体" w:eastAsia="宋体" w:cs="宋体"/>
          <w:lang w:eastAsia="zh-CN"/>
        </w:rPr>
      </w:pPr>
    </w:p>
    <w:p>
      <w:pPr>
        <w:ind w:left="0" w:leftChars="0" w:firstLine="0" w:firstLineChars="0"/>
        <w:rPr>
          <w:rFonts w:hint="eastAsia" w:ascii="宋体" w:hAnsi="宋体" w:eastAsia="宋体" w:cs="宋体"/>
          <w:lang w:eastAsia="zh-CN"/>
        </w:rPr>
      </w:pPr>
    </w:p>
    <w:p>
      <w:pPr>
        <w:jc w:val="center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lang w:eastAsia="zh-CN"/>
        </w:rPr>
        <w:t>附件</w:t>
      </w:r>
      <w:r>
        <w:rPr>
          <w:rFonts w:hint="eastAsia" w:ascii="宋体" w:hAnsi="宋体" w:eastAsia="宋体" w:cs="宋体"/>
          <w:lang w:val="en-US" w:eastAsia="zh-CN"/>
        </w:rPr>
        <w:t>1：</w:t>
      </w:r>
      <w:r>
        <w:rPr>
          <w:rFonts w:hint="eastAsia" w:ascii="宋体" w:hAnsi="宋体" w:eastAsia="宋体" w:cs="宋体"/>
          <w:lang w:eastAsia="zh-CN"/>
        </w:rPr>
        <w:t>竞选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评分标准评分标准</w:t>
      </w:r>
    </w:p>
    <w:tbl>
      <w:tblPr>
        <w:tblStyle w:val="7"/>
        <w:tblpPr w:leftFromText="180" w:rightFromText="180" w:vertAnchor="text" w:horzAnchor="page" w:tblpX="1201" w:tblpY="300"/>
        <w:tblOverlap w:val="never"/>
        <w:tblW w:w="9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1063"/>
        <w:gridCol w:w="804"/>
        <w:gridCol w:w="5326"/>
        <w:gridCol w:w="16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17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序号</w:t>
            </w:r>
          </w:p>
        </w:tc>
        <w:tc>
          <w:tcPr>
            <w:tcW w:w="1063" w:type="dxa"/>
            <w:noWrap w:val="0"/>
            <w:vAlign w:val="center"/>
          </w:tcPr>
          <w:p>
            <w:pPr>
              <w:ind w:left="0" w:leftChars="0" w:firstLine="0" w:firstLineChars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评分因素及权值</w:t>
            </w:r>
          </w:p>
        </w:tc>
        <w:tc>
          <w:tcPr>
            <w:tcW w:w="804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分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值</w:t>
            </w:r>
          </w:p>
        </w:tc>
        <w:tc>
          <w:tcPr>
            <w:tcW w:w="532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评分标准</w:t>
            </w:r>
          </w:p>
        </w:tc>
        <w:tc>
          <w:tcPr>
            <w:tcW w:w="1606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说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717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1063" w:type="dxa"/>
            <w:noWrap w:val="0"/>
            <w:vAlign w:val="center"/>
          </w:tcPr>
          <w:p>
            <w:pPr>
              <w:ind w:left="0" w:leftChars="0"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比选报价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%</w:t>
            </w:r>
          </w:p>
        </w:tc>
        <w:tc>
          <w:tcPr>
            <w:tcW w:w="804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分</w:t>
            </w:r>
          </w:p>
        </w:tc>
        <w:tc>
          <w:tcPr>
            <w:tcW w:w="532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满足比选文件要求且最后报价最低的供应商的价格为比选基准价，其价格分为满分。其他供应商的价格分统一按照下列公式计算：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比选报价得分=（比选基准价/比选报价）×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%</w:t>
            </w:r>
          </w:p>
        </w:tc>
        <w:tc>
          <w:tcPr>
            <w:tcW w:w="1606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评分的取值按四舍五入法，保留小数点后两位。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6" w:hRule="atLeast"/>
        </w:trPr>
        <w:tc>
          <w:tcPr>
            <w:tcW w:w="717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063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服务方案</w:t>
            </w:r>
          </w:p>
          <w:p>
            <w:pPr>
              <w:pStyle w:val="2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42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%</w:t>
            </w:r>
          </w:p>
        </w:tc>
        <w:tc>
          <w:tcPr>
            <w:tcW w:w="804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42分</w:t>
            </w:r>
          </w:p>
        </w:tc>
        <w:tc>
          <w:tcPr>
            <w:tcW w:w="532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根据投标人对本项目：1、 项目管理制度；2、岗位职责管理制度；3、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CN" w:eastAsia="zh-CN"/>
              </w:rPr>
              <w:t>项目应急措施及方案；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4、人员配置（包括但不限于人员姓名、技术职称/资格、联系方式等）；5、响应时间；6、全面的检测服务方案；每有一项具体可行得5分，每项总体方案的可行性、可靠性、合理性、科学性以及项目工作重点、难点分析情况进行对比，优的单项最多加2分,此项最多加12分，此项最高得42分。</w:t>
            </w:r>
          </w:p>
        </w:tc>
        <w:tc>
          <w:tcPr>
            <w:tcW w:w="1606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3" w:hRule="atLeast"/>
        </w:trPr>
        <w:tc>
          <w:tcPr>
            <w:tcW w:w="717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063" w:type="dxa"/>
            <w:noWrap w:val="0"/>
            <w:vAlign w:val="center"/>
          </w:tcPr>
          <w:p>
            <w:pPr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服务能力</w:t>
            </w:r>
          </w:p>
          <w:p>
            <w:pPr>
              <w:pStyle w:val="2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17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%</w:t>
            </w:r>
          </w:p>
        </w:tc>
        <w:tc>
          <w:tcPr>
            <w:tcW w:w="804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17分</w:t>
            </w:r>
          </w:p>
        </w:tc>
        <w:tc>
          <w:tcPr>
            <w:tcW w:w="532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firstLine="210" w:firstLineChars="10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为确保应急突发事故检测，投标供应商能在30分钟内响应，且能到达现场的得10分，60分钟内能响应，且到达现场的得6分，超出60分钟，且到达现场的得4分。（需提供承诺函）</w:t>
            </w:r>
          </w:p>
        </w:tc>
        <w:tc>
          <w:tcPr>
            <w:tcW w:w="1606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717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063" w:type="dxa"/>
            <w:noWrap w:val="0"/>
            <w:vAlign w:val="center"/>
          </w:tcPr>
          <w:p>
            <w:pPr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履约能力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%</w:t>
            </w:r>
          </w:p>
        </w:tc>
        <w:tc>
          <w:tcPr>
            <w:tcW w:w="804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分</w:t>
            </w:r>
          </w:p>
        </w:tc>
        <w:tc>
          <w:tcPr>
            <w:tcW w:w="532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firstLine="420" w:firstLineChars="200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近1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以来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医院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检测服务项目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业绩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，每有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1个项目得1分，最高得10分；（提供合同复印件）</w:t>
            </w:r>
          </w:p>
        </w:tc>
        <w:tc>
          <w:tcPr>
            <w:tcW w:w="1606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（以上证明材料均需加盖供应商鲜章）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</w:trPr>
        <w:tc>
          <w:tcPr>
            <w:tcW w:w="717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063" w:type="dxa"/>
            <w:noWrap w:val="0"/>
            <w:vAlign w:val="center"/>
          </w:tcPr>
          <w:p>
            <w:pPr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 xml:space="preserve">响应文件的规范性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%</w:t>
            </w:r>
          </w:p>
        </w:tc>
        <w:tc>
          <w:tcPr>
            <w:tcW w:w="804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1分</w:t>
            </w:r>
          </w:p>
        </w:tc>
        <w:tc>
          <w:tcPr>
            <w:tcW w:w="5326" w:type="dxa"/>
            <w:noWrap w:val="0"/>
            <w:vAlign w:val="center"/>
          </w:tcPr>
          <w:p>
            <w:pPr>
              <w:pStyle w:val="2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响应文件制作规范，没有细微偏差情形的得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分，有一项细微偏差扣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0.5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分，扣完为止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606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以比选响应文件为准</w:t>
            </w:r>
          </w:p>
        </w:tc>
      </w:tr>
    </w:tbl>
    <w:p>
      <w:pPr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Chars="0"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??????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C775471"/>
    <w:multiLevelType w:val="singleLevel"/>
    <w:tmpl w:val="EC77547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D50D1F2"/>
    <w:multiLevelType w:val="singleLevel"/>
    <w:tmpl w:val="0D50D1F2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15E61E39"/>
    <w:multiLevelType w:val="singleLevel"/>
    <w:tmpl w:val="15E61E39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61F398C9"/>
    <w:multiLevelType w:val="singleLevel"/>
    <w:tmpl w:val="61F398C9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0M2ZiMTkwOTAzYzNlNGM3YmRiN2U1OTQxZDcwMTcifQ=="/>
  </w:docVars>
  <w:rsids>
    <w:rsidRoot w:val="25D5615C"/>
    <w:rsid w:val="23A77A62"/>
    <w:rsid w:val="25D5615C"/>
    <w:rsid w:val="306E76D8"/>
    <w:rsid w:val="370B2A8D"/>
    <w:rsid w:val="37F7E443"/>
    <w:rsid w:val="3E29036C"/>
    <w:rsid w:val="47247E0F"/>
    <w:rsid w:val="48974315"/>
    <w:rsid w:val="490D102E"/>
    <w:rsid w:val="4CFDD69E"/>
    <w:rsid w:val="501D37A3"/>
    <w:rsid w:val="5FCF0CEE"/>
    <w:rsid w:val="5FF6C052"/>
    <w:rsid w:val="65FF89DE"/>
    <w:rsid w:val="661A658E"/>
    <w:rsid w:val="686170C7"/>
    <w:rsid w:val="6DBD4C19"/>
    <w:rsid w:val="6FC73353"/>
    <w:rsid w:val="70FF7895"/>
    <w:rsid w:val="76F9CE98"/>
    <w:rsid w:val="7DFE8C80"/>
    <w:rsid w:val="7EFF42EB"/>
    <w:rsid w:val="D6F3A009"/>
    <w:rsid w:val="DDCE674B"/>
    <w:rsid w:val="E76B39FE"/>
    <w:rsid w:val="F37B009B"/>
    <w:rsid w:val="F6DF4661"/>
    <w:rsid w:val="FFF7E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200" w:firstLineChars="200"/>
      <w:jc w:val="both"/>
    </w:pPr>
    <w:rPr>
      <w:rFonts w:ascii="??????" w:hAnsi="Courier New" w:eastAsia="Times New Roman" w:cs="Times New Roman"/>
      <w:kern w:val="2"/>
      <w:sz w:val="32"/>
      <w:szCs w:val="3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</w:style>
  <w:style w:type="paragraph" w:styleId="3">
    <w:name w:val="Body Text First Indent"/>
    <w:basedOn w:val="2"/>
    <w:unhideWhenUsed/>
    <w:qFormat/>
    <w:uiPriority w:val="99"/>
    <w:pPr>
      <w:spacing w:after="120" w:line="240" w:lineRule="auto"/>
      <w:ind w:firstLine="420" w:firstLineChars="100"/>
    </w:pPr>
    <w:rPr>
      <w:color w:val="auto"/>
    </w:rPr>
  </w:style>
  <w:style w:type="paragraph" w:styleId="6">
    <w:name w:val="annotation text"/>
    <w:basedOn w:val="1"/>
    <w:qFormat/>
    <w:uiPriority w:val="0"/>
    <w:pPr>
      <w:jc w:val="left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1739</Words>
  <Characters>1917</Characters>
  <Lines>0</Lines>
  <Paragraphs>0</Paragraphs>
  <TotalTime>2</TotalTime>
  <ScaleCrop>false</ScaleCrop>
  <LinksUpToDate>false</LinksUpToDate>
  <CharactersWithSpaces>2002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2022-08-22T15:45:00Z</dcterms:created>
  <dc:creator>李睿</dc:creator>
  <cp:lastModifiedBy>余小黑不二黑</cp:lastModifiedBy>
  <cp:lastPrinted>2022-10-08T14:58:00Z</cp:lastPrinted>
  <dcterms:modified xsi:type="dcterms:W3CDTF">2022-11-29T07:15:56Z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E50A59E2BBA34670AE5360A62048C6F6</vt:lpwstr>
  </property>
</Properties>
</file>