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内江市第一人民医院</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rPr>
        <w:t>两区手术室净化空调系</w:t>
      </w:r>
      <w:r>
        <w:rPr>
          <w:rFonts w:hint="eastAsia" w:ascii="方正小标宋简体" w:hAnsi="方正小标宋简体" w:eastAsia="方正小标宋简体" w:cs="方正小标宋简体"/>
          <w:b w:val="0"/>
          <w:bCs/>
          <w:sz w:val="44"/>
          <w:szCs w:val="44"/>
          <w:lang w:eastAsia="zh-CN"/>
        </w:rPr>
        <w:t>统</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2023</w:t>
      </w:r>
      <w:r>
        <w:rPr>
          <w:rFonts w:hint="eastAsia" w:ascii="方正小标宋简体" w:hAnsi="方正小标宋简体" w:eastAsia="方正小标宋简体" w:cs="方正小标宋简体"/>
          <w:b w:val="0"/>
          <w:bCs/>
          <w:sz w:val="44"/>
          <w:szCs w:val="44"/>
        </w:rPr>
        <w:t>年</w:t>
      </w:r>
      <w:r>
        <w:rPr>
          <w:rFonts w:hint="eastAsia" w:ascii="方正小标宋简体" w:hAnsi="方正小标宋简体" w:eastAsia="方正小标宋简体" w:cs="方正小标宋简体"/>
          <w:b w:val="0"/>
          <w:bCs/>
          <w:sz w:val="44"/>
          <w:szCs w:val="44"/>
          <w:lang w:eastAsia="zh-CN"/>
        </w:rPr>
        <w:t>年</w:t>
      </w:r>
      <w:r>
        <w:rPr>
          <w:rFonts w:hint="eastAsia" w:ascii="方正小标宋简体" w:hAnsi="方正小标宋简体" w:eastAsia="方正小标宋简体" w:cs="方正小标宋简体"/>
          <w:b w:val="0"/>
          <w:bCs/>
          <w:sz w:val="44"/>
          <w:szCs w:val="44"/>
        </w:rPr>
        <w:t>度维修保养竞选</w:t>
      </w:r>
      <w:r>
        <w:rPr>
          <w:rFonts w:hint="eastAsia" w:ascii="方正小标宋简体" w:hAnsi="方正小标宋简体" w:eastAsia="方正小标宋简体" w:cs="方正小标宋简体"/>
          <w:b w:val="0"/>
          <w:bCs/>
          <w:sz w:val="44"/>
          <w:szCs w:val="44"/>
          <w:lang w:val="en-US" w:eastAsia="zh-CN"/>
        </w:rPr>
        <w:t>公告</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b/>
          <w:sz w:val="32"/>
          <w:szCs w:val="32"/>
        </w:rPr>
        <w:t>维保概况及目的</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1、为确保我院两区手术室的净化空调系统及附带强弱电控制系统始终处于良好的运行状态。按照洁净</w:t>
      </w:r>
      <w:r>
        <w:rPr>
          <w:rFonts w:hint="eastAsia" w:ascii="仿宋_GB2312" w:hAnsi="仿宋_GB2312" w:eastAsia="仿宋_GB2312" w:cs="仿宋_GB2312"/>
          <w:bCs/>
          <w:sz w:val="32"/>
          <w:szCs w:val="32"/>
        </w:rPr>
        <w:t>手术室</w:t>
      </w:r>
      <w:r>
        <w:rPr>
          <w:rFonts w:hint="eastAsia" w:ascii="仿宋_GB2312" w:hAnsi="仿宋_GB2312" w:eastAsia="仿宋_GB2312" w:cs="仿宋_GB2312"/>
          <w:sz w:val="32"/>
          <w:szCs w:val="32"/>
        </w:rPr>
        <w:t>的七大洁净指标(温湿度、风速或换气次数、噪声、压差、照度、尘埃粒子)符合《医院洁净手术部建筑技术规范》GB50333-2002标准、《医院空气净化管理规范》WS/T 368-2012及《手术部医院感染预防与控制技术规范》标准等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Hans"/>
        </w:rPr>
        <w:t>供应商</w:t>
      </w:r>
      <w:r>
        <w:rPr>
          <w:rFonts w:hint="eastAsia" w:ascii="仿宋_GB2312" w:hAnsi="仿宋_GB2312" w:eastAsia="仿宋_GB2312" w:cs="仿宋_GB2312"/>
          <w:sz w:val="32"/>
          <w:szCs w:val="32"/>
          <w:lang w:eastAsia="zh-CN"/>
        </w:rPr>
        <w:t>对两区手术室净化空调系统及附带强弱电控制系统进行日常的维护保养，以</w:t>
      </w:r>
      <w:r>
        <w:rPr>
          <w:rFonts w:hint="eastAsia" w:ascii="仿宋_GB2312" w:hAnsi="仿宋_GB2312" w:eastAsia="仿宋_GB2312" w:cs="仿宋_GB2312"/>
          <w:sz w:val="32"/>
          <w:szCs w:val="32"/>
        </w:rPr>
        <w:t>保障我院两区手术工作的正常开展。</w:t>
      </w:r>
    </w:p>
    <w:p>
      <w:pPr>
        <w:keepNext w:val="0"/>
        <w:keepLines w:val="0"/>
        <w:pageBreakBefore w:val="0"/>
        <w:kinsoku/>
        <w:wordWrap/>
        <w:overflowPunct/>
        <w:topLinePunct w:val="0"/>
        <w:autoSpaceDE/>
        <w:autoSpaceDN/>
        <w:bidi w:val="0"/>
        <w:adjustRightInd/>
        <w:snapToGrid/>
        <w:spacing w:line="560" w:lineRule="exact"/>
        <w:ind w:left="-359" w:leftChars="-171"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2、维修保养时间1年（具体时间以签订合同为准）。</w:t>
      </w:r>
    </w:p>
    <w:p>
      <w:pPr>
        <w:keepNext w:val="0"/>
        <w:keepLines w:val="0"/>
        <w:pageBreakBefore w:val="0"/>
        <w:kinsoku/>
        <w:wordWrap/>
        <w:overflowPunct/>
        <w:topLinePunct w:val="0"/>
        <w:autoSpaceDE/>
        <w:autoSpaceDN/>
        <w:bidi w:val="0"/>
        <w:adjustRightInd/>
        <w:snapToGrid/>
        <w:spacing w:line="560" w:lineRule="exact"/>
        <w:ind w:left="-359" w:leftChars="-171"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3、此次维修保养服务</w:t>
      </w:r>
      <w:r>
        <w:rPr>
          <w:rFonts w:hint="eastAsia" w:ascii="仿宋_GB2312" w:hAnsi="仿宋_GB2312" w:eastAsia="仿宋_GB2312" w:cs="仿宋_GB2312"/>
          <w:sz w:val="32"/>
          <w:szCs w:val="32"/>
          <w:lang w:val="en-US" w:eastAsia="zh-Hans"/>
        </w:rPr>
        <w:t>最高</w:t>
      </w:r>
      <w:r>
        <w:rPr>
          <w:rFonts w:hint="eastAsia" w:ascii="仿宋_GB2312" w:hAnsi="仿宋_GB2312" w:eastAsia="仿宋_GB2312" w:cs="仿宋_GB2312"/>
          <w:sz w:val="32"/>
          <w:szCs w:val="32"/>
        </w:rPr>
        <w:t>限价为人民币：</w:t>
      </w:r>
      <w:r>
        <w:rPr>
          <w:rFonts w:hint="eastAsia" w:ascii="仿宋_GB2312" w:hAnsi="仿宋_GB2312" w:eastAsia="仿宋_GB2312" w:cs="仿宋_GB2312"/>
          <w:sz w:val="32"/>
          <w:szCs w:val="32"/>
          <w:lang w:val="en-US" w:eastAsia="zh-CN"/>
        </w:rPr>
        <w:t>15.3</w:t>
      </w:r>
      <w:r>
        <w:rPr>
          <w:rFonts w:hint="eastAsia" w:ascii="仿宋_GB2312" w:hAnsi="仿宋_GB2312" w:eastAsia="仿宋_GB2312" w:cs="仿宋_GB2312"/>
          <w:sz w:val="32"/>
          <w:szCs w:val="32"/>
        </w:rPr>
        <w:t>万</w:t>
      </w:r>
      <w:r>
        <w:rPr>
          <w:rFonts w:hint="eastAsia" w:ascii="仿宋_GB2312" w:hAnsi="仿宋_GB2312" w:eastAsia="仿宋_GB2312" w:cs="仿宋_GB2312"/>
          <w:sz w:val="32"/>
          <w:szCs w:val="32"/>
          <w:lang w:val="en-US" w:eastAsia="zh-Hans"/>
        </w:rPr>
        <w:t>元</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b/>
          <w:sz w:val="32"/>
          <w:szCs w:val="32"/>
        </w:rPr>
        <w:t>维保服务标准及保证</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严格按照国家相关规范及设备厂家维护保养手册</w:t>
      </w:r>
      <w:r>
        <w:rPr>
          <w:rFonts w:hint="eastAsia" w:ascii="仿宋_GB2312" w:hAnsi="仿宋_GB2312" w:eastAsia="仿宋_GB2312" w:cs="仿宋_GB2312"/>
          <w:sz w:val="32"/>
          <w:szCs w:val="32"/>
          <w:lang w:val="en-US" w:eastAsia="zh-Hans"/>
        </w:rPr>
        <w:t>进行维保</w:t>
      </w:r>
      <w:r>
        <w:rPr>
          <w:rFonts w:hint="default" w:ascii="仿宋_GB2312" w:hAnsi="仿宋_GB2312" w:eastAsia="仿宋_GB2312" w:cs="仿宋_GB2312"/>
          <w:sz w:val="32"/>
          <w:szCs w:val="32"/>
          <w:lang w:eastAsia="zh-Hans"/>
        </w:rPr>
        <w:t>。</w:t>
      </w:r>
    </w:p>
    <w:p>
      <w:pPr>
        <w:keepNext w:val="0"/>
        <w:keepLines w:val="0"/>
        <w:pageBreakBefore w:val="0"/>
        <w:kinsoku/>
        <w:wordWrap/>
        <w:overflowPunct/>
        <w:topLinePunct w:val="0"/>
        <w:autoSpaceDE/>
        <w:autoSpaceDN/>
        <w:bidi w:val="0"/>
        <w:adjustRightInd/>
        <w:snapToGrid/>
        <w:spacing w:line="560" w:lineRule="exact"/>
        <w:ind w:left="-10" w:leftChars="-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1、安全保证：</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维保期内，保证所维护保养的设备设施安全正常运行。</w:t>
      </w:r>
      <w:r>
        <w:rPr>
          <w:rFonts w:hint="eastAsia" w:ascii="仿宋_GB2312" w:hAnsi="仿宋_GB2312" w:eastAsia="仿宋_GB2312" w:cs="仿宋_GB2312"/>
          <w:sz w:val="32"/>
          <w:szCs w:val="32"/>
          <w:lang w:val="en-US" w:eastAsia="zh-Hans"/>
        </w:rPr>
        <w:t>供应商</w:t>
      </w:r>
      <w:r>
        <w:rPr>
          <w:rFonts w:hint="eastAsia" w:ascii="仿宋_GB2312" w:hAnsi="仿宋_GB2312" w:eastAsia="仿宋_GB2312" w:cs="仿宋_GB2312"/>
          <w:sz w:val="32"/>
          <w:szCs w:val="32"/>
        </w:rPr>
        <w:t>对操作人员有培训和监督执行操作规定的责任。</w:t>
      </w:r>
    </w:p>
    <w:p>
      <w:pPr>
        <w:keepNext w:val="0"/>
        <w:keepLines w:val="0"/>
        <w:pageBreakBefore w:val="0"/>
        <w:kinsoku/>
        <w:wordWrap/>
        <w:overflowPunct/>
        <w:topLinePunct w:val="0"/>
        <w:autoSpaceDE/>
        <w:autoSpaceDN/>
        <w:bidi w:val="0"/>
        <w:adjustRightInd/>
        <w:snapToGrid/>
        <w:spacing w:line="560" w:lineRule="exact"/>
        <w:ind w:left="-10" w:leftChars="-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2、质量保证: </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2.1保证设备设施处于安全正常状态。每季度提前向</w:t>
      </w:r>
      <w:r>
        <w:rPr>
          <w:rFonts w:hint="eastAsia" w:ascii="仿宋_GB2312" w:hAnsi="仿宋_GB2312" w:eastAsia="仿宋_GB2312" w:cs="仿宋_GB2312"/>
          <w:sz w:val="32"/>
          <w:szCs w:val="32"/>
          <w:lang w:val="en-US" w:eastAsia="zh-Hans"/>
        </w:rPr>
        <w:t>采购人</w:t>
      </w:r>
      <w:r>
        <w:rPr>
          <w:rFonts w:hint="eastAsia" w:ascii="仿宋_GB2312" w:hAnsi="仿宋_GB2312" w:eastAsia="仿宋_GB2312" w:cs="仿宋_GB2312"/>
          <w:sz w:val="32"/>
          <w:szCs w:val="32"/>
        </w:rPr>
        <w:t>提交保养预排表，内容要包含区间位置、保养时段等，以便提前安排工作。日常</w:t>
      </w:r>
      <w:r>
        <w:rPr>
          <w:rFonts w:hint="eastAsia" w:ascii="仿宋_GB2312" w:hAnsi="仿宋_GB2312" w:eastAsia="仿宋_GB2312" w:cs="仿宋_GB2312"/>
          <w:sz w:val="32"/>
          <w:szCs w:val="32"/>
          <w:lang w:eastAsia="zh-CN"/>
        </w:rPr>
        <w:t>维修</w:t>
      </w:r>
      <w:r>
        <w:rPr>
          <w:rFonts w:hint="eastAsia" w:ascii="仿宋_GB2312" w:hAnsi="仿宋_GB2312" w:eastAsia="仿宋_GB2312" w:cs="仿宋_GB2312"/>
          <w:sz w:val="32"/>
          <w:szCs w:val="32"/>
        </w:rPr>
        <w:t>保养时间由甲方根据实际情况决定，保养工作时间内不能时间过长，错开使用高峰时间，尽量安排在夜间或周末等手术较少的时段进行。每月对维保范围内的设备设施进行专业的维护保养，按月、季度、年度检查要落实并有相关记录。</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2.2配合医院对每间手术室、辅助用房应建立维保档案，对原始技术资料、维保记录、修理记录、零件更换记录进行登记管理。要从设备设施长期可持续安全运行的角度出发，进行组织计划维修工作。保证洁净手术室的技术指标达到相应的要求。</w:t>
      </w:r>
    </w:p>
    <w:p>
      <w:pPr>
        <w:keepNext w:val="0"/>
        <w:keepLines w:val="0"/>
        <w:pageBreakBefore w:val="0"/>
        <w:kinsoku/>
        <w:wordWrap/>
        <w:overflowPunct/>
        <w:topLinePunct w:val="0"/>
        <w:autoSpaceDE/>
        <w:autoSpaceDN/>
        <w:bidi w:val="0"/>
        <w:adjustRightInd/>
        <w:snapToGrid/>
        <w:spacing w:line="560" w:lineRule="exact"/>
        <w:ind w:left="-10" w:leftChars="-5"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3、技术力量保证: </w:t>
      </w:r>
    </w:p>
    <w:p>
      <w:pPr>
        <w:keepNext w:val="0"/>
        <w:keepLines w:val="0"/>
        <w:pageBreakBefore w:val="0"/>
        <w:kinsoku/>
        <w:wordWrap/>
        <w:overflowPunct/>
        <w:topLinePunct w:val="0"/>
        <w:autoSpaceDE/>
        <w:autoSpaceDN/>
        <w:bidi w:val="0"/>
        <w:adjustRightInd/>
        <w:snapToGrid/>
        <w:spacing w:line="560" w:lineRule="exact"/>
        <w:ind w:left="-10" w:leftChars="-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派遣有能力维修工程师负责该项目，并能熟练处理各种故障维修、保养及提供设备管理服务。如遇院方有重大活动或业务开展时，应根据院方要求加大现场的监护力度。维保方必须配备有专业工具和检测仪器：尘埃粒子计数仪、温湿度仪、风速仪、压差仪等。其间如因为安全、文明、规范操作给院方人员及其他人员造成的一切不良后果，均由维保方及当事人承担相关责任。</w:t>
      </w:r>
    </w:p>
    <w:p>
      <w:pPr>
        <w:keepNext w:val="0"/>
        <w:keepLines w:val="0"/>
        <w:pageBreakBefore w:val="0"/>
        <w:kinsoku/>
        <w:wordWrap/>
        <w:overflowPunct/>
        <w:topLinePunct w:val="0"/>
        <w:autoSpaceDE/>
        <w:autoSpaceDN/>
        <w:bidi w:val="0"/>
        <w:adjustRightInd/>
        <w:snapToGrid/>
        <w:spacing w:line="560" w:lineRule="exact"/>
        <w:ind w:left="-10" w:leftChars="-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4、维保制度保证</w:t>
      </w:r>
    </w:p>
    <w:p>
      <w:pPr>
        <w:keepNext w:val="0"/>
        <w:keepLines w:val="0"/>
        <w:pageBreakBefore w:val="0"/>
        <w:kinsoku/>
        <w:wordWrap/>
        <w:overflowPunct/>
        <w:topLinePunct w:val="0"/>
        <w:autoSpaceDE/>
        <w:autoSpaceDN/>
        <w:bidi w:val="0"/>
        <w:adjustRightInd/>
        <w:snapToGrid/>
        <w:spacing w:line="560" w:lineRule="exact"/>
        <w:ind w:left="-10" w:leftChars="-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4.1、明确对该项目维保管理人员的岗位职责和定期业务学习与培训制度。</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4.2、巡回检查制度</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4.3、维护和保养制度</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4.4、检测与修理制度和运行与检修记录</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三、维保具体工作内容：</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sz w:val="32"/>
          <w:szCs w:val="32"/>
        </w:rPr>
        <w:t>内江市第一人民医院两区住院部手术室具体维护维保的工作内容包括：</w:t>
      </w:r>
      <w:r>
        <w:rPr>
          <w:rFonts w:hint="eastAsia" w:ascii="仿宋_GB2312" w:hAnsi="仿宋_GB2312" w:eastAsia="仿宋_GB2312" w:cs="仿宋_GB2312"/>
          <w:b/>
          <w:sz w:val="32"/>
          <w:szCs w:val="32"/>
        </w:rPr>
        <w:t>风冷热泵空调主机3台、模块机空调1台、空调水系统、洁净空调系统、新风系统、新风机组（柜）、控制系统等设施及设备</w:t>
      </w:r>
      <w:r>
        <w:rPr>
          <w:rFonts w:hint="eastAsia" w:ascii="仿宋_GB2312" w:hAnsi="仿宋_GB2312" w:eastAsia="仿宋_GB2312" w:cs="仿宋_GB2312"/>
          <w:sz w:val="32"/>
          <w:szCs w:val="32"/>
        </w:rPr>
        <w:t>。</w:t>
      </w:r>
    </w:p>
    <w:p>
      <w:pPr>
        <w:pStyle w:val="6"/>
        <w:keepNext w:val="0"/>
        <w:keepLines w:val="0"/>
        <w:pageBreakBefore w:val="0"/>
        <w:kinsoku/>
        <w:wordWrap/>
        <w:overflowPunct/>
        <w:topLinePunct w:val="0"/>
        <w:autoSpaceDE/>
        <w:autoSpaceDN/>
        <w:bidi w:val="0"/>
        <w:adjustRightInd/>
        <w:snapToGrid/>
        <w:spacing w:before="0" w:beforeAutospacing="0" w:after="0" w:afterAutospacing="0"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1、空调机组维保内容</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1.1风冷热泵机组年度维保：</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a检查机组制冷剂的充注量，检查接口是否存在泄漏，对有泄漏的机组应该查出漏点进行有效处理，必要时转移制冷剂，对蒸发器进行加氮加压检漏，处理漏点后抽湿抽真处理并保负压。对制冷不足的机组进行充注。</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1.1b 检查冷冻油量、油色、必要时更换冷冻机油并清理油腔。检查机组运行时的油压，检查油过滤器，必要时进行更换。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1.1c 检查机组干燥过滤器，必要时进行更换。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1.1d 检测机组压缩机电机、电磁阀线圈、冷凝器风机电机的绝缘情况，检查各电磁阀的工作情况。</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1.1e 检查清理控制柜，检查各接触器、继电器、检查各接线端。</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1.1f检测机组控制保护装置的运行情况；根据运行情况对控制系统进行调整。</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1.1g 检查冷凝器风机电机轴承，进行加油润滑。</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1.1h 检查冷冻水泵运行情况，并加油润滑。</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1.1i 检查冷凝器翅片的积尘情况，必要时进行清洗或更换翅片。</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1.1j 建立设备维保档案，填写设备维修保养记录。</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1.2、热泵机组每月定期保养内容：</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1.2a 检查冷冻油的润滑情况是否正常。</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1.2b 制冷剂循环系统检查：检查机组吸气压力、制冷剂蒸发温度是否正常；检查机组排气压力、排气温度和制冷剂冷凝温度是否正常。</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1.2c 水系统检查：检查冷冻水进出水压力、压差及温度、温差是否在正常范围。各压力表、温度表是否正常，必要时对其更换。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1.2d 检查冷冻水泵运行情况。</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1.2e 检查机组各保护控制装置并对各保护参数进行校对、调整。</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1.2f 检查压缩机电机、室内外风机电机的运行情况，并检测其线圈绝缘情况。</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1.2g 检查机组各电磁阀、膨胀阀的运行情况。</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1.2h 检查并清理电路的各接触器、继电器及微电脑控制系统。</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1.2i 检查冷凝风机运转情况，检查及清理翅片积尘。</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1.2j 检查校正各控制设定值。</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1.2k 检查机组压缩机电机的工作电压、电流及工作温度是否正常。</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1.2l 对机组及控制元件进行外观检查。</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1.2m建立设备维保档案，填写设备维修保养记录卡</w:t>
      </w:r>
      <w:r>
        <w:rPr>
          <w:rFonts w:hint="eastAsia" w:ascii="仿宋_GB2312" w:hAnsi="仿宋_GB2312" w:eastAsia="仿宋_GB2312" w:cs="仿宋_GB2312"/>
          <w:sz w:val="32"/>
          <w:szCs w:val="32"/>
          <w:lang w:eastAsia="zh-CN"/>
        </w:rPr>
        <w:t>。</w:t>
      </w:r>
    </w:p>
    <w:p>
      <w:pPr>
        <w:pStyle w:val="6"/>
        <w:keepNext w:val="0"/>
        <w:keepLines w:val="0"/>
        <w:pageBreakBefore w:val="0"/>
        <w:kinsoku/>
        <w:wordWrap/>
        <w:overflowPunct/>
        <w:topLinePunct w:val="0"/>
        <w:autoSpaceDE/>
        <w:autoSpaceDN/>
        <w:bidi w:val="0"/>
        <w:adjustRightInd/>
        <w:snapToGrid/>
        <w:spacing w:before="0" w:beforeAutospacing="0" w:after="0" w:afterAutospacing="0"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2、净化组合式空调机组（风柜）维保内容</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2.1  净化组合式空调机组的年度保养内容</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2.1a检查风机电机轴承运行情况，添加润滑油，必查时进行更换。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2.1b检查风机电机绝缘情况；检查风机电源及各接线端。</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2.1c检查并调整风机皮带，必要时进行更换。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2.1d检查、调整风机的运转使不产生不正常的震动及噪音。</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2.1e检查柜体表面，做好防腐处理；检查吊架情况，使风柜安装良好。</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2.1f用专业清洁剂清洗风柜内表面、散热翅片；清理风机叶轮、凝水盘。</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2.1g检查机组换热情况，检查阀门管道的堵塞情况，必要时进行换热管道的疏通清洗工作。</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2.1h检查电极加湿器的工作状态、加湿量与信号模量的比例关系是否正常。</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2.1i检查加湿器桶内的结垢情况和电极的腐蚀状态，必要时需要进行更换。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2.1j检查比例积分阀的运行情况。</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2.1k检查机组保温情况，避免冷凝漏水。</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2.1l检查机组内的初、中、亚高效、高效过滤器的工作情况，如过滤器的阻力偏高或有破损的情况，应立即书面报告院方，由院方负责进行更换。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2.1m建立设备维保档案，填写设备维修保养记录卡。</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2.2、净化组合式空调机组的月度保养内容：</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2.2a检查风机电机轴承运行情况，添加润滑油，必查时进行更换。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2.2b检查风机电机绝缘情况；检查电机电源及各接线端是否松动、电机各相电流。</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2.2c检查并调整风机皮带松紧程度，必要时进行更换。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2.2d检查、调整风机的运转使之不产生不正常的震动及噪音。</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2.2e检查柜体表面，做好防腐处理；检查机架情况，使风柜安装良好。</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2.2f用专业清洁剂清洗风柜内表面、散热翅片；清理风机叶轮、凝水盘。</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2.2g检查机组换热情况，检查阀门管道的堵塞情况，必要时进行换热管道的疏通清洗工作。</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2.2h检查电极加湿器的工作状态、加湿量与信号模量的比例关系是否正常，桶内的水位情况，排水是否通畅，相间电流是否平衡？并及时维护。</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2.2i检查加湿器桶内的结垢情况和电极的腐蚀状态，必要时需要进行更换。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2.2j检查比例积分阀的运行情况。</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2.2k检查机组保温情况并及时修复，避免冷凝漏水。</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2.2l检查机组内的初中、效过滤器、亚高效过滤器的工作情况，如过滤器的阻力偏高或有破损的情况，应立即进行更换。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2.2m检查机组内杀菌装置是否正常，如有损坏应立即更换。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2.2n每半年清洁一次热交换器的翅片，肋片有压倒的要用弛梳梳好。</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2.2o建立设备维保档案，填写设备维修保养记录卡。</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3、新、排风机的维保内容</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3.1、新、排风机的年度保养工作内容：</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3.1a检查风机电机轴承运行情况，添加润滑油，必要时进行更换。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3.1b检查风机电机绝缘情况；检查风机电源及各接线端。</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3.1c检查风机的运转电流是否正常。</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3.1d检查风机表面，做好防腐处理；检查吊架情况，使风柜安装良好。</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3.1e清理风机叶轮，按要求加注润滑油脂，使设备润滑良好。</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3.1f检查、调整风机的运转使不产生不正常的震动及噪音。</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3.1g建立设备维保档案，填写设备维修保养记录卡。</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3.2排风机的月度保养内容：</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3.2a检查风机电机轴承运行情况，按要求加注润滑油脂，使设备润滑良好。</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3.2b检查风机电机绝缘情况。</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3.2c检查、调整风机的运转使不产生不正常的震动及噪音。</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3.2d建立设备维保档案，填写设备维修保养记录卡。</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4、空调水泵年度保养内容</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4.1空调水泵年度保养工作内容：</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4.1a检测轴承及泵叶的磨损程度；检查轴承温度及是否存在异响，必要时进行更换；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4.1b按要求加注润滑油脂，使设备润滑良好。</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4.1c检查联轴器急轮胶的震动及磨损情况，必要时进行更换；校正对轴性使水泵电机达到运转平衡。</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4.1d检查水泵运行时是否有漏水现象，必要时调整密封或更换。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4.1e检测电机的绝缘电阻；检查水泵启动柜的各个开关、接触器、接线端、触点、电压表、电流表的工作情况，进行去尘、清理、加固等必要保养工作。</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4.1f检查各阀门、止回阀、水锤汲纳器、软接、Y型过滤器等附件的运行性能，并进行保养调整；检测、校对各温度表、压力表。</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4.1g检查水泵的运转电压与运转电流是否正常；检查水泵运转时的进出水压力是否正常。</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4.1h检查水泵外观、对机体、支座支架除锈并作防锈处理。</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4.1i建立设备维保档案，填写设备维修保养记录卡。</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4.2 空调水泵月保养内容：</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4.2a检查轴承温度及是否存在异响，必要时进行更换；按要求加注润滑油脂，使设备润滑良好。</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4.2b检查联轴器急轮胶的震动及磨损情况，必要时进更换；校正对轴性使水泵电机达到运转平衡。</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4.2c检查各阀门、止回阀、水锤吸纳器、软接、Y型过滤器等附件的运行性能，并进行保养调整；检测、校对各温度表、压力表。</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4.2d检查水泵运行时是否有漏水现象，必要时调整密封或更换。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4.2e建立设备维保档案，填写设备维修保养记录卡。</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5、空调冷热水系统维保内容</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5.1检查冷却水是否清洁，若不清洁应全部更换和管道加药除水垢；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5.2检查膨胀水箱补水浮球阀是否正常；</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5.3检查系统阀门有无渗漏，并进行修复，必要时需更换。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5.4水系统中的水过滤器要三个月拆开清洁一次。</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半年检查一次水管保温层或保护层，脱落或破损的要补好，开胶的要重新粘好。</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检查系统中压差调节阀是否正常。</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膨胀水箱内要一年清洁一次，并对箱体及钢结构基座进行一次除锈刷漆；</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一年检查一次水管系统的支撑构件，损坏的要修复，松动的要紧固，锈腐的要除锈刷漆。</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6、净化空调风循环系统维保内容</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6.1定期检查风管道与设备间的软连接是否紧密和有无破损的情况，如有松动应及时紧固，必要时应进行更换。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6.2定期清洗新风机组、循环机组的初中效过滤器、回风口、排风口并进行记录</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6.3定期进行中效压差检查，及时更换风阻超过要求及破损的过滤器。 </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6.4定期对风量阀、定风量阀及手动阀的检查、维护。对动作不灵的要修理或更换各组件,各种风阀检查密封性、灵活性、稳固性和开启的准确性,及时进行润滑和堵漏保养。</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6.5每月应对手术室及辅助房的回风口检查一次，对初、中效过滤器等易耗品，根据检查情况以书面形式报于院方。由院方负责购买更换。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6.6每月应对手术室及辅助房的排风口清洗一次，对初、中效过滤器等易耗品，根据检查情况以书面形式报于院方。由院方负责购买更换。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6.7检查风管绝热层，如有超温、老化、破损须及时修补或更换；并积极作好保温材料的维护。</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6.8检查送排静压箱及送风装置，静压箱应密封严密，保温良好，口面风速均匀合理。</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6.9系统的支吊构件检查、修复、除锈刷漆 支吊构件必须牢固，及时修复和紧固。锈蚀的要除锈刷漆处理。</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6.10定期检查高效过滤器的密封口处是否漏风和过滤器的是否破损，并根据高效过滤器的阻力判断是否需要更换。</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6.11每次更换过滤器时，应对静压箱的内表面进行清洁。</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6.12检查净化空调风管道的清洁程度，应对相应标准检查记录，如需大范围清洁要产生费用，需书面报甲方，由甲方负责。 </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7、强弱电系统维保内容</w:t>
      </w:r>
    </w:p>
    <w:p>
      <w:pPr>
        <w:pStyle w:val="6"/>
        <w:keepNext w:val="0"/>
        <w:keepLines w:val="0"/>
        <w:pageBreakBefore w:val="0"/>
        <w:kinsoku/>
        <w:wordWrap/>
        <w:overflowPunct/>
        <w:topLinePunct w:val="0"/>
        <w:autoSpaceDE/>
        <w:autoSpaceDN/>
        <w:bidi w:val="0"/>
        <w:adjustRightInd/>
        <w:snapToGrid/>
        <w:spacing w:before="0"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7.1检查空调控制系统、温、湿度显示器系统的正常工作。</w:t>
      </w:r>
    </w:p>
    <w:p>
      <w:pPr>
        <w:pStyle w:val="6"/>
        <w:keepNext w:val="0"/>
        <w:keepLines w:val="0"/>
        <w:pageBreakBefore w:val="0"/>
        <w:kinsoku/>
        <w:wordWrap/>
        <w:overflowPunct/>
        <w:topLinePunct w:val="0"/>
        <w:autoSpaceDE/>
        <w:autoSpaceDN/>
        <w:bidi w:val="0"/>
        <w:adjustRightInd/>
        <w:snapToGrid/>
        <w:spacing w:before="0"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7.2检查监控器显示值与设定值的符合性，包括各区的正压值、梯度监控记录；远控面板控制开关灵活，接触器无打火现象，接线端子牢固，电路板无尘。及时分析报警记录、处置与报告，尽早发现运行中的各种异常或事故，做出趋势分析和降低潜在的风险。</w:t>
      </w:r>
    </w:p>
    <w:p>
      <w:pPr>
        <w:pStyle w:val="6"/>
        <w:keepNext w:val="0"/>
        <w:keepLines w:val="0"/>
        <w:pageBreakBefore w:val="0"/>
        <w:kinsoku/>
        <w:wordWrap/>
        <w:overflowPunct/>
        <w:topLinePunct w:val="0"/>
        <w:autoSpaceDE/>
        <w:autoSpaceDN/>
        <w:bidi w:val="0"/>
        <w:adjustRightInd/>
        <w:snapToGrid/>
        <w:spacing w:before="0"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定期对配电柜箱体及柜内所有电气部件保洁，对交流接触器、热继电器、自动空气开关、中间继电器等所有电子元件，进行风枪除尘。及时更换老化、受损电子元件和其他配件。定期检查散热风扇状态，确保配电柜通风正常，风扇运行风量满足电器散热要求。</w:t>
      </w:r>
    </w:p>
    <w:p>
      <w:pPr>
        <w:pStyle w:val="6"/>
        <w:keepNext w:val="0"/>
        <w:keepLines w:val="0"/>
        <w:pageBreakBefore w:val="0"/>
        <w:kinsoku/>
        <w:wordWrap/>
        <w:overflowPunct/>
        <w:topLinePunct w:val="0"/>
        <w:autoSpaceDE/>
        <w:autoSpaceDN/>
        <w:bidi w:val="0"/>
        <w:adjustRightInd/>
        <w:snapToGrid/>
        <w:spacing w:before="0"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定期检查及修复弱电系统管线，保证线管完整、牢固、线路整洁，杜绝鼠类进入线管或桥架。定期检测电路绝缘性，紧固接线头，应保持接触牢固并做好线路的保养工作。</w:t>
      </w:r>
    </w:p>
    <w:p>
      <w:pPr>
        <w:pStyle w:val="6"/>
        <w:keepNext w:val="0"/>
        <w:keepLines w:val="0"/>
        <w:pageBreakBefore w:val="0"/>
        <w:kinsoku/>
        <w:wordWrap/>
        <w:overflowPunct/>
        <w:topLinePunct w:val="0"/>
        <w:autoSpaceDE/>
        <w:autoSpaceDN/>
        <w:bidi w:val="0"/>
        <w:adjustRightInd/>
        <w:snapToGrid/>
        <w:spacing w:before="0"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定期清洁设备层，确保室内无积水，钢结构无锈，新风口保持清洁、牢固，做到机房内干燥、通风、清洁、无灰尘、异物。</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8、空调机组给排水部分维保内容</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 xml:space="preserve">   8.1定期对给水系统压力检查；</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 xml:space="preserve">   8.2定期对各排水管进行检查，避免堵塞和作好疏通；</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 xml:space="preserve">   8.3定期对各阀门的性能检查；</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 xml:space="preserve">   8.4对各损坏部件维修，必要时需及时报备更换。</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9、监测、检测</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 xml:space="preserve">   9.1每月对洁净手术部的正负压力进行监测并记录；</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 xml:space="preserve">   9.2每半年对洁净手术部进行一次尘埃粒子的监测，监控高效过滤器的使用状况并记录；</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四、维保配置与应急处理</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1、人员要求</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项目负责人：主要负责该项目服务的管理，服务人员的安排，以及该项目的应急措施的工作。</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维护人员：主要负责该该项目日常维保服务，设备性能的技术分析鉴定，设备日常维保报告，以及该项目设备的应急措施的维修工作。</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2、建立维保档案</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A、确定设备日常维保内容，建立设备日常维保档案。对每次设备日常维保内容进行详细记录。并提交给用户。</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B、对日常维护的设备的性能应进行技术分析，以便确定该设备或配件是否需要进行维修、更换，同时将技术分析报告，维修费用报告提交给用户。</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3、常用配件的库存和工具的备用</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A、为了确保该项目的服务及时性和设备的正常运行，在对该项目的设备进行调查了解后，对那些易损配件应进行同等型号、规格零配件库存。</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B、确保该项目的服务工具、检查仪器在任何时间均能正常使用，同时作好工具的备用工作。</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4、维保维修的及时处置</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故障所需更换的零部件（除压缩机、水泵、电机、水阀、查漏加氟等修复时间较长的其它零部件）易损件1小时内更换并恢复；常规类较大型的维修1-3天内更换并恢复；压缩机、空调系统、控制系统等检查修复时间较长的1-7天内更换并恢复；</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5、建立突发事故的应急处理机制</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在收到现场维保人员的信息后，项目负责人应根据信息描述，立即召集相关工程技术人员成立应急小组，对产生的事故原因进行分析，并拿出解决事故的初步方案；同时派遣技术人员在两小时内赶到现场，根据初步方案对故事设备进行控制或维修。应急小组在最短的时间内拿出最终解决事故方案、解决事故的时间、解决事故的费用；并及时提交用户。维修完成后，及时提交维修报告与用户。</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五、运行管理巡查规范 </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 xml:space="preserve">   1、人员管理严格执行国家规范，定职技能符合医院维护管理要求。</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 xml:space="preserve">   2、档案管理定期监测记录完整档案归档归纳监测报告，乙方、医院管理部门各保留壹份。</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lang w:eastAsia="zh-CN"/>
        </w:rPr>
      </w:pPr>
      <w:r>
        <w:rPr>
          <w:rFonts w:hint="eastAsia" w:ascii="仿宋_GB2312" w:hAnsi="仿宋_GB2312" w:eastAsia="仿宋_GB2312" w:cs="仿宋_GB2312"/>
          <w:sz w:val="32"/>
          <w:szCs w:val="32"/>
        </w:rPr>
        <w:t xml:space="preserve">   3、质量管理层流效果</w:t>
      </w:r>
      <w:r>
        <w:rPr>
          <w:rFonts w:hint="eastAsia" w:ascii="仿宋_GB2312" w:hAnsi="仿宋_GB2312" w:eastAsia="仿宋_GB2312" w:cs="仿宋_GB2312"/>
          <w:sz w:val="32"/>
          <w:szCs w:val="32"/>
          <w:lang w:eastAsia="zh-CN"/>
        </w:rPr>
        <w:t>应定期</w:t>
      </w:r>
      <w:r>
        <w:rPr>
          <w:rFonts w:hint="eastAsia" w:ascii="仿宋_GB2312" w:hAnsi="仿宋_GB2312" w:eastAsia="仿宋_GB2312" w:cs="仿宋_GB2312"/>
          <w:sz w:val="32"/>
          <w:szCs w:val="32"/>
        </w:rPr>
        <w:t>检查，发现问题及时解决并记录</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 xml:space="preserve">   4、对临时的维护、修理任务应做好充分的准备工作，并对临时的修理任务做好记录。</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 xml:space="preserve">   5、对每月或每季维护、保养的设备有重大的质量隐患要以书面的形式立即报告医院的管理科室。</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6、更换材料记录表及售后服务回访记录表等资料，由使用科室或管理科室确认。</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b/>
          <w:sz w:val="32"/>
          <w:szCs w:val="32"/>
        </w:rPr>
        <w:t xml:space="preserve">六、资质要求  </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sz w:val="32"/>
          <w:szCs w:val="32"/>
        </w:rPr>
        <w:t>1、供应商必须具有在中华人民共和国境内注册的独立企业法人资格；并且具有合法、有效的营业执照及经营范围；</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sz w:val="32"/>
          <w:szCs w:val="32"/>
        </w:rPr>
        <w:t>2、供应商必须具有履行合同所必需的设备和专业技术能力；</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sz w:val="32"/>
          <w:szCs w:val="32"/>
        </w:rPr>
        <w:t>3、供应商必须具备相关法律、行政法规规定的其他条件；</w:t>
      </w:r>
      <w:r>
        <w:rPr>
          <w:rFonts w:hint="eastAsia" w:ascii="仿宋_GB2312" w:hAnsi="仿宋_GB2312" w:eastAsia="仿宋_GB2312" w:cs="仿宋_GB2312"/>
          <w:b/>
          <w:sz w:val="32"/>
          <w:szCs w:val="32"/>
        </w:rPr>
        <w:t xml:space="preserve"> </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sz w:val="32"/>
          <w:szCs w:val="32"/>
        </w:rPr>
        <w:t>4、供应商应具有良好的商业信誉，没有处于被责令停业,财产被接管、冻结破产状态。</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sz w:val="32"/>
          <w:szCs w:val="32"/>
        </w:rPr>
        <w:t>5、供应商参选人不是单位法定代表的，需提供竞选单位法人身份证复印件及竞选委托书和参选个人身份证复印件；</w:t>
      </w:r>
      <w:r>
        <w:rPr>
          <w:rFonts w:hint="eastAsia" w:ascii="仿宋_GB2312" w:hAnsi="仿宋_GB2312" w:eastAsia="仿宋_GB2312" w:cs="仿宋_GB2312"/>
          <w:sz w:val="32"/>
          <w:szCs w:val="32"/>
        </w:rPr>
        <w:tab/>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6、参加采购活动前三年内，在经营活动中没有重大违法记录；</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7、本项目不接受联合体竞选；</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8、本项目规定的其他要求。</w:t>
      </w:r>
    </w:p>
    <w:p>
      <w:pPr>
        <w:keepNext w:val="0"/>
        <w:keepLines w:val="0"/>
        <w:pageBreakBefore w:val="0"/>
        <w:kinsoku/>
        <w:wordWrap/>
        <w:overflowPunct/>
        <w:topLinePunct w:val="0"/>
        <w:autoSpaceDE/>
        <w:autoSpaceDN/>
        <w:bidi w:val="0"/>
        <w:adjustRightInd/>
        <w:snapToGrid/>
        <w:spacing w:line="560" w:lineRule="exact"/>
        <w:ind w:left="-359" w:leftChars="-17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sz w:val="32"/>
          <w:szCs w:val="32"/>
        </w:rPr>
        <w:t>注：以上资料必须齐全，复印件须加盖竞选单位公章。</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七、投递竞选书及参竞要求</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1</w:t>
      </w:r>
      <w:r>
        <w:rPr>
          <w:rFonts w:hint="eastAsia" w:ascii="仿宋_GB2312" w:hAnsi="仿宋_GB2312" w:eastAsia="仿宋_GB2312" w:cs="仿宋_GB2312"/>
          <w:sz w:val="32"/>
          <w:szCs w:val="32"/>
        </w:rPr>
        <w:t>、</w:t>
      </w:r>
      <w:r>
        <w:rPr>
          <w:rFonts w:hint="eastAsia" w:ascii="仿宋_GB2312" w:hAnsi="仿宋_GB2312" w:eastAsia="仿宋_GB2312" w:cs="仿宋_GB2312"/>
          <w:b w:val="0"/>
          <w:bCs w:val="0"/>
          <w:sz w:val="32"/>
          <w:szCs w:val="32"/>
          <w:lang w:eastAsia="zh-CN"/>
        </w:rPr>
        <w:t>建议</w:t>
      </w:r>
      <w:r>
        <w:rPr>
          <w:rFonts w:hint="eastAsia" w:ascii="仿宋_GB2312" w:hAnsi="仿宋_GB2312" w:eastAsia="仿宋_GB2312" w:cs="仿宋_GB2312"/>
          <w:b w:val="0"/>
          <w:bCs w:val="0"/>
          <w:sz w:val="32"/>
          <w:szCs w:val="32"/>
        </w:rPr>
        <w:t>供应商对</w:t>
      </w:r>
      <w:r>
        <w:rPr>
          <w:rFonts w:hint="eastAsia" w:ascii="仿宋_GB2312" w:hAnsi="仿宋_GB2312" w:eastAsia="仿宋_GB2312" w:cs="仿宋_GB2312"/>
          <w:b w:val="0"/>
          <w:bCs w:val="0"/>
          <w:sz w:val="32"/>
          <w:szCs w:val="32"/>
          <w:lang w:eastAsia="zh-CN"/>
        </w:rPr>
        <w:t>要承保的</w:t>
      </w:r>
      <w:r>
        <w:rPr>
          <w:rFonts w:hint="eastAsia" w:ascii="仿宋_GB2312" w:hAnsi="仿宋_GB2312" w:eastAsia="仿宋_GB2312" w:cs="仿宋_GB2312"/>
          <w:b w:val="0"/>
          <w:bCs w:val="0"/>
          <w:sz w:val="32"/>
          <w:szCs w:val="32"/>
        </w:rPr>
        <w:t>设备</w:t>
      </w:r>
      <w:r>
        <w:rPr>
          <w:rFonts w:hint="eastAsia" w:ascii="仿宋_GB2312" w:hAnsi="仿宋_GB2312" w:eastAsia="仿宋_GB2312" w:cs="仿宋_GB2312"/>
          <w:b w:val="0"/>
          <w:bCs w:val="0"/>
          <w:sz w:val="32"/>
          <w:szCs w:val="32"/>
          <w:lang w:eastAsia="zh-CN"/>
        </w:rPr>
        <w:t>及附带设施</w:t>
      </w:r>
      <w:r>
        <w:rPr>
          <w:rFonts w:hint="eastAsia" w:ascii="仿宋_GB2312" w:hAnsi="仿宋_GB2312" w:eastAsia="仿宋_GB2312" w:cs="仿宋_GB2312"/>
          <w:b w:val="0"/>
          <w:bCs w:val="0"/>
          <w:sz w:val="32"/>
          <w:szCs w:val="32"/>
        </w:rPr>
        <w:t>进行现场踏堪</w:t>
      </w:r>
      <w:r>
        <w:rPr>
          <w:rFonts w:hint="eastAsia" w:ascii="仿宋_GB2312" w:hAnsi="仿宋_GB2312" w:eastAsia="仿宋_GB2312" w:cs="仿宋_GB2312"/>
          <w:b w:val="0"/>
          <w:bCs w:val="0"/>
          <w:sz w:val="32"/>
          <w:szCs w:val="32"/>
          <w:lang w:eastAsia="zh-CN"/>
        </w:rPr>
        <w:t>。</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2</w:t>
      </w:r>
      <w:r>
        <w:rPr>
          <w:rFonts w:hint="eastAsia" w:ascii="仿宋_GB2312" w:hAnsi="仿宋_GB2312" w:eastAsia="仿宋_GB2312" w:cs="仿宋_GB2312"/>
          <w:sz w:val="32"/>
          <w:szCs w:val="32"/>
        </w:rPr>
        <w:t>、符合条件且愿意参加竞选的供应商于开选时到开选地点，现场递交竞选文件。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、竞选所报价格必须包括维修、安装、调试、人工、应急服务、含税等</w:t>
      </w:r>
      <w:r>
        <w:rPr>
          <w:rFonts w:hint="eastAsia" w:ascii="仿宋_GB2312" w:hAnsi="仿宋_GB2312" w:eastAsia="仿宋_GB2312" w:cs="仿宋_GB2312"/>
          <w:sz w:val="32"/>
          <w:szCs w:val="32"/>
          <w:lang w:eastAsia="zh-CN"/>
        </w:rPr>
        <w:t>费用</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、供应商需提供此次项目的分项报价明细，说明报价组成部份。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、供应商须仔细阅读附件内容</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八、竞选时间</w:t>
      </w:r>
    </w:p>
    <w:p>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日上午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时。</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九、开选地点</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内江市第一人民医院新区医院</w:t>
      </w:r>
      <w:r>
        <w:rPr>
          <w:rFonts w:hint="eastAsia" w:ascii="仿宋_GB2312" w:hAnsi="仿宋_GB2312" w:eastAsia="仿宋_GB2312" w:cs="仿宋_GB2312"/>
          <w:sz w:val="32"/>
          <w:szCs w:val="32"/>
          <w:lang w:val="en-US" w:eastAsia="zh-CN"/>
        </w:rPr>
        <w:t>儿科综合</w:t>
      </w:r>
      <w:r>
        <w:rPr>
          <w:rFonts w:hint="eastAsia" w:ascii="仿宋_GB2312" w:hAnsi="仿宋_GB2312" w:eastAsia="仿宋_GB2312" w:cs="仿宋_GB2312"/>
          <w:sz w:val="32"/>
          <w:szCs w:val="32"/>
        </w:rPr>
        <w:t>楼</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楼会议室。</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十、评选标准</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根据报价、公司资质、人员技术类别、服务能力等进行综合评比。</w:t>
      </w:r>
    </w:p>
    <w:p>
      <w:pPr>
        <w:keepNext w:val="0"/>
        <w:keepLines w:val="0"/>
        <w:pageBreakBefore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联系人：总务科  黄 黎</w:t>
      </w:r>
    </w:p>
    <w:p>
      <w:pPr>
        <w:keepNext w:val="0"/>
        <w:keepLines w:val="0"/>
        <w:pageBreakBefore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联系电话：13541616520</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附：供应商须知、现场踏堪</w:t>
      </w:r>
      <w:r>
        <w:rPr>
          <w:rFonts w:hint="eastAsia" w:ascii="仿宋_GB2312" w:hAnsi="仿宋_GB2312" w:eastAsia="仿宋_GB2312" w:cs="仿宋_GB2312"/>
          <w:b/>
          <w:sz w:val="32"/>
          <w:szCs w:val="32"/>
          <w:lang w:eastAsia="zh-CN"/>
        </w:rPr>
        <w:t>通知</w:t>
      </w:r>
      <w:r>
        <w:rPr>
          <w:rFonts w:hint="eastAsia" w:ascii="仿宋_GB2312" w:hAnsi="仿宋_GB2312" w:eastAsia="仿宋_GB2312" w:cs="仿宋_GB2312"/>
          <w:b/>
          <w:sz w:val="32"/>
          <w:szCs w:val="32"/>
        </w:rPr>
        <w:t>、竞选评分细则</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p>
    <w:p>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color w:val="FF0000"/>
          <w:sz w:val="24"/>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rPr>
      </w:pPr>
    </w:p>
    <w:p>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color w:val="000000"/>
          <w:kern w:val="0"/>
          <w:sz w:val="32"/>
          <w:szCs w:val="32"/>
        </w:rPr>
      </w:pPr>
    </w:p>
    <w:p>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color w:val="000000"/>
          <w:kern w:val="0"/>
          <w:sz w:val="32"/>
          <w:szCs w:val="32"/>
        </w:rPr>
      </w:pPr>
    </w:p>
    <w:p>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附件一：</w:t>
      </w:r>
    </w:p>
    <w:p>
      <w:pPr>
        <w:keepNext w:val="0"/>
        <w:keepLines w:val="0"/>
        <w:pageBreakBefore w:val="0"/>
        <w:kinsoku/>
        <w:wordWrap/>
        <w:overflowPunct/>
        <w:topLinePunct w:val="0"/>
        <w:autoSpaceDE/>
        <w:autoSpaceDN/>
        <w:bidi w:val="0"/>
        <w:adjustRightInd/>
        <w:snapToGrid/>
        <w:spacing w:line="560" w:lineRule="exact"/>
        <w:jc w:val="center"/>
        <w:textAlignment w:val="auto"/>
        <w:outlineLvl w:val="0"/>
        <w:rPr>
          <w:rFonts w:hint="eastAsia" w:ascii="仿宋_GB2312" w:hAnsi="仿宋_GB2312" w:eastAsia="仿宋_GB2312" w:cs="仿宋_GB2312"/>
          <w:b/>
          <w:bCs/>
          <w:sz w:val="32"/>
          <w:szCs w:val="32"/>
        </w:rPr>
      </w:pPr>
      <w:bookmarkStart w:id="0" w:name="_Toc29471"/>
      <w:r>
        <w:rPr>
          <w:rFonts w:hint="eastAsia" w:ascii="仿宋_GB2312" w:hAnsi="仿宋_GB2312" w:eastAsia="仿宋_GB2312" w:cs="仿宋_GB2312"/>
          <w:b/>
          <w:bCs/>
          <w:sz w:val="32"/>
          <w:szCs w:val="32"/>
        </w:rPr>
        <w:t>供应商须知</w:t>
      </w:r>
      <w:bookmarkEnd w:id="0"/>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rPr>
        <w:t xml:space="preserve">一、适用范围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xml:space="preserve">    本竞选文件的最终解释权归内江市第一人民医院所有。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kern w:val="0"/>
          <w:sz w:val="32"/>
          <w:szCs w:val="32"/>
        </w:rPr>
        <w:t xml:space="preserve">二、供应商的条件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rPr>
        <w:t xml:space="preserve">    </w:t>
      </w:r>
      <w:r>
        <w:rPr>
          <w:rFonts w:hint="eastAsia" w:ascii="仿宋_GB2312" w:hAnsi="仿宋_GB2312" w:eastAsia="仿宋_GB2312" w:cs="仿宋_GB2312"/>
          <w:color w:val="000000"/>
          <w:kern w:val="0"/>
          <w:sz w:val="32"/>
          <w:szCs w:val="32"/>
        </w:rPr>
        <w:t>符合“两区手术室净化空调系统</w:t>
      </w:r>
      <w:r>
        <w:rPr>
          <w:rFonts w:hint="eastAsia" w:ascii="仿宋_GB2312" w:hAnsi="仿宋_GB2312" w:eastAsia="仿宋_GB2312" w:cs="仿宋_GB2312"/>
          <w:color w:val="000000"/>
          <w:kern w:val="0"/>
          <w:sz w:val="32"/>
          <w:szCs w:val="32"/>
          <w:lang w:val="en-US" w:eastAsia="zh-CN"/>
        </w:rPr>
        <w:t>2023年</w:t>
      </w:r>
      <w:r>
        <w:rPr>
          <w:rFonts w:hint="eastAsia" w:ascii="仿宋_GB2312" w:hAnsi="仿宋_GB2312" w:eastAsia="仿宋_GB2312" w:cs="仿宋_GB2312"/>
          <w:color w:val="000000"/>
          <w:kern w:val="0"/>
          <w:sz w:val="32"/>
          <w:szCs w:val="32"/>
        </w:rPr>
        <w:t xml:space="preserve">年度维修保养竞选”第六条规定的条件；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rPr>
        <w:t xml:space="preserve">三、竞选费用 </w:t>
      </w:r>
    </w:p>
    <w:p>
      <w:pPr>
        <w:keepNext w:val="0"/>
        <w:keepLines w:val="0"/>
        <w:pageBreakBefore w:val="0"/>
        <w:widowControl/>
        <w:kinsoku/>
        <w:wordWrap/>
        <w:overflowPunct/>
        <w:topLinePunct w:val="0"/>
        <w:autoSpaceDE/>
        <w:autoSpaceDN/>
        <w:bidi w:val="0"/>
        <w:adjustRightInd/>
        <w:snapToGrid/>
        <w:spacing w:line="560" w:lineRule="exact"/>
        <w:ind w:firstLine="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无论竞选采购的结果如何，供应商自行承担所有参加竞选活动有关的全部费用。</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kern w:val="0"/>
          <w:sz w:val="32"/>
          <w:szCs w:val="32"/>
        </w:rPr>
        <w:t xml:space="preserve">四、响应文件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lang w:eastAsia="zh-CN"/>
        </w:rPr>
        <w:t>（一）</w:t>
      </w:r>
      <w:r>
        <w:rPr>
          <w:rFonts w:hint="eastAsia" w:ascii="仿宋_GB2312" w:hAnsi="仿宋_GB2312" w:eastAsia="仿宋_GB2312" w:cs="仿宋_GB2312"/>
          <w:b/>
          <w:bCs/>
          <w:color w:val="000000"/>
          <w:kern w:val="0"/>
          <w:sz w:val="32"/>
          <w:szCs w:val="32"/>
        </w:rPr>
        <w:t xml:space="preserve">响应文件提供的证明材料 </w:t>
      </w:r>
    </w:p>
    <w:p>
      <w:pPr>
        <w:keepNext w:val="0"/>
        <w:keepLines w:val="0"/>
        <w:pageBreakBefore w:val="0"/>
        <w:widowControl/>
        <w:kinsoku/>
        <w:wordWrap/>
        <w:overflowPunct/>
        <w:topLinePunct w:val="0"/>
        <w:autoSpaceDE/>
        <w:autoSpaceDN/>
        <w:bidi w:val="0"/>
        <w:adjustRightInd/>
        <w:snapToGrid/>
        <w:spacing w:line="560" w:lineRule="exact"/>
        <w:ind w:firstLine="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xml:space="preserve">1.响应文件的组成： </w:t>
      </w:r>
    </w:p>
    <w:p>
      <w:pPr>
        <w:keepNext w:val="0"/>
        <w:keepLines w:val="0"/>
        <w:pageBreakBefore w:val="0"/>
        <w:widowControl/>
        <w:kinsoku/>
        <w:wordWrap/>
        <w:overflowPunct/>
        <w:topLinePunct w:val="0"/>
        <w:autoSpaceDE/>
        <w:autoSpaceDN/>
        <w:bidi w:val="0"/>
        <w:adjustRightInd/>
        <w:snapToGrid/>
        <w:spacing w:line="560" w:lineRule="exact"/>
        <w:ind w:left="420" w:firstLine="42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1.1评分要素索引表；</w:t>
      </w:r>
    </w:p>
    <w:p>
      <w:pPr>
        <w:keepNext w:val="0"/>
        <w:keepLines w:val="0"/>
        <w:pageBreakBefore w:val="0"/>
        <w:widowControl/>
        <w:kinsoku/>
        <w:wordWrap/>
        <w:overflowPunct/>
        <w:topLinePunct w:val="0"/>
        <w:autoSpaceDE/>
        <w:autoSpaceDN/>
        <w:bidi w:val="0"/>
        <w:adjustRightInd/>
        <w:snapToGrid/>
        <w:spacing w:line="560" w:lineRule="exact"/>
        <w:ind w:left="420" w:firstLine="42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1.2报价单；</w:t>
      </w:r>
    </w:p>
    <w:p>
      <w:pPr>
        <w:keepNext w:val="0"/>
        <w:keepLines w:val="0"/>
        <w:pageBreakBefore w:val="0"/>
        <w:widowControl/>
        <w:kinsoku/>
        <w:wordWrap/>
        <w:overflowPunct/>
        <w:topLinePunct w:val="0"/>
        <w:autoSpaceDE/>
        <w:autoSpaceDN/>
        <w:bidi w:val="0"/>
        <w:adjustRightInd/>
        <w:snapToGrid/>
        <w:spacing w:line="560" w:lineRule="exact"/>
        <w:ind w:left="420" w:firstLine="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1.3法定代表人授权委托书；</w:t>
      </w:r>
    </w:p>
    <w:p>
      <w:pPr>
        <w:keepNext w:val="0"/>
        <w:keepLines w:val="0"/>
        <w:pageBreakBefore w:val="0"/>
        <w:widowControl/>
        <w:kinsoku/>
        <w:wordWrap/>
        <w:overflowPunct/>
        <w:topLinePunct w:val="0"/>
        <w:autoSpaceDE/>
        <w:autoSpaceDN/>
        <w:bidi w:val="0"/>
        <w:adjustRightInd/>
        <w:snapToGrid/>
        <w:spacing w:line="560" w:lineRule="exact"/>
        <w:ind w:left="420" w:firstLine="42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1.4承诺函；</w:t>
      </w:r>
    </w:p>
    <w:p>
      <w:pPr>
        <w:keepNext w:val="0"/>
        <w:keepLines w:val="0"/>
        <w:pageBreakBefore w:val="0"/>
        <w:widowControl/>
        <w:kinsoku/>
        <w:wordWrap/>
        <w:overflowPunct/>
        <w:topLinePunct w:val="0"/>
        <w:autoSpaceDE/>
        <w:autoSpaceDN/>
        <w:bidi w:val="0"/>
        <w:adjustRightInd/>
        <w:snapToGrid/>
        <w:spacing w:line="560" w:lineRule="exact"/>
        <w:ind w:left="420" w:firstLine="42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1.5技术应答表及商务要求应答表；</w:t>
      </w:r>
    </w:p>
    <w:p>
      <w:pPr>
        <w:pStyle w:val="2"/>
        <w:keepNext w:val="0"/>
        <w:keepLines w:val="0"/>
        <w:pageBreakBefore w:val="0"/>
        <w:kinsoku/>
        <w:wordWrap/>
        <w:overflowPunct/>
        <w:topLinePunct w:val="0"/>
        <w:autoSpaceDE/>
        <w:autoSpaceDN/>
        <w:bidi w:val="0"/>
        <w:adjustRightInd/>
        <w:snapToGrid/>
        <w:spacing w:line="560" w:lineRule="exact"/>
        <w:ind w:left="420" w:firstLine="42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1.6实施及服务方案；</w:t>
      </w:r>
    </w:p>
    <w:p>
      <w:pPr>
        <w:keepNext w:val="0"/>
        <w:keepLines w:val="0"/>
        <w:pageBreakBefore w:val="0"/>
        <w:widowControl/>
        <w:kinsoku/>
        <w:wordWrap/>
        <w:overflowPunct/>
        <w:topLinePunct w:val="0"/>
        <w:autoSpaceDE/>
        <w:autoSpaceDN/>
        <w:bidi w:val="0"/>
        <w:adjustRightInd/>
        <w:snapToGrid/>
        <w:spacing w:line="560" w:lineRule="exact"/>
        <w:ind w:left="420" w:firstLine="42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1.7对应综合评分表具体要求提供能够提供的相关承诺或证明材料如未提供也不影响供应商响应文件的有效性）； </w:t>
      </w:r>
    </w:p>
    <w:p>
      <w:pPr>
        <w:pStyle w:val="2"/>
        <w:keepNext w:val="0"/>
        <w:keepLines w:val="0"/>
        <w:pageBreakBefore w:val="0"/>
        <w:kinsoku/>
        <w:wordWrap/>
        <w:overflowPunct/>
        <w:topLinePunct w:val="0"/>
        <w:autoSpaceDE/>
        <w:autoSpaceDN/>
        <w:bidi w:val="0"/>
        <w:adjustRightInd/>
        <w:snapToGrid/>
        <w:spacing w:line="560" w:lineRule="exact"/>
        <w:ind w:left="420" w:firstLine="42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1.8其他有利于采购人或者供应商认为需要提供的文件和资料（如未提供也不影响供应商响应文件的有效性）。</w:t>
      </w:r>
    </w:p>
    <w:p>
      <w:pPr>
        <w:ind w:firstLine="640" w:firstLineChars="200"/>
        <w:rPr>
          <w:rFonts w:hint="eastAsia" w:eastAsia="仿宋_GB2312"/>
          <w:lang w:val="en-US" w:eastAsia="zh-CN"/>
        </w:rPr>
      </w:pPr>
      <w:r>
        <w:rPr>
          <w:rFonts w:hint="eastAsia" w:ascii="仿宋_GB2312" w:hAnsi="仿宋_GB2312" w:eastAsia="仿宋_GB2312" w:cs="仿宋_GB2312"/>
          <w:color w:val="000000"/>
          <w:kern w:val="0"/>
          <w:sz w:val="32"/>
          <w:szCs w:val="32"/>
          <w:lang w:val="en-US" w:eastAsia="zh-CN"/>
        </w:rPr>
        <w:t>2.</w:t>
      </w:r>
      <w:r>
        <w:rPr>
          <w:rFonts w:hint="eastAsia" w:ascii="仿宋_GB2312" w:hAnsi="仿宋_GB2312" w:eastAsia="仿宋_GB2312" w:cs="仿宋_GB2312"/>
          <w:color w:val="000000"/>
          <w:kern w:val="0"/>
          <w:sz w:val="32"/>
          <w:szCs w:val="32"/>
        </w:rPr>
        <w:t>本项目不接受联合体参与竞选。</w:t>
      </w:r>
    </w:p>
    <w:p>
      <w:pPr>
        <w:keepNext w:val="0"/>
        <w:keepLines w:val="0"/>
        <w:pageBreakBefore w:val="0"/>
        <w:widowControl/>
        <w:kinsoku/>
        <w:wordWrap/>
        <w:overflowPunct/>
        <w:topLinePunct w:val="0"/>
        <w:autoSpaceDE/>
        <w:autoSpaceDN/>
        <w:bidi w:val="0"/>
        <w:adjustRightInd/>
        <w:snapToGrid/>
        <w:spacing w:line="560" w:lineRule="exact"/>
        <w:ind w:left="420" w:firstLine="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xml:space="preserve">注：1、响应文件所需提供的全部证明材料内容均须有效； </w:t>
      </w:r>
    </w:p>
    <w:p>
      <w:pPr>
        <w:keepNext w:val="0"/>
        <w:keepLines w:val="0"/>
        <w:pageBreakBefore w:val="0"/>
        <w:widowControl/>
        <w:kinsoku/>
        <w:wordWrap/>
        <w:overflowPunct/>
        <w:topLinePunct w:val="0"/>
        <w:autoSpaceDE/>
        <w:autoSpaceDN/>
        <w:bidi w:val="0"/>
        <w:adjustRightInd/>
        <w:snapToGrid/>
        <w:spacing w:line="560" w:lineRule="exact"/>
        <w:ind w:firstLine="960" w:firstLineChars="3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xml:space="preserve">2、以上每页资料必须逐页加盖公司鲜章并加盖骑缝章。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rPr>
        <w:t>（</w:t>
      </w:r>
      <w:r>
        <w:rPr>
          <w:rFonts w:hint="eastAsia" w:ascii="仿宋_GB2312" w:hAnsi="仿宋_GB2312" w:eastAsia="仿宋_GB2312" w:cs="仿宋_GB2312"/>
          <w:b/>
          <w:bCs/>
          <w:color w:val="000000"/>
          <w:kern w:val="0"/>
          <w:sz w:val="32"/>
          <w:szCs w:val="32"/>
          <w:lang w:eastAsia="zh-CN"/>
        </w:rPr>
        <w:t>二</w:t>
      </w:r>
      <w:r>
        <w:rPr>
          <w:rFonts w:hint="eastAsia" w:ascii="仿宋_GB2312" w:hAnsi="仿宋_GB2312" w:eastAsia="仿宋_GB2312" w:cs="仿宋_GB2312"/>
          <w:b/>
          <w:bCs/>
          <w:color w:val="000000"/>
          <w:kern w:val="0"/>
          <w:sz w:val="32"/>
          <w:szCs w:val="32"/>
        </w:rPr>
        <w:t xml:space="preserve">）响应文件编制、签署 </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xml:space="preserve">响应文件一式 </w:t>
      </w:r>
      <w:r>
        <w:rPr>
          <w:rFonts w:hint="eastAsia" w:ascii="仿宋_GB2312" w:hAnsi="仿宋_GB2312" w:eastAsia="仿宋_GB2312" w:cs="仿宋_GB2312"/>
          <w:color w:val="000000"/>
          <w:kern w:val="0"/>
          <w:sz w:val="32"/>
          <w:szCs w:val="32"/>
          <w:lang w:val="en-US" w:eastAsia="zh-CN"/>
        </w:rPr>
        <w:t>2</w:t>
      </w:r>
      <w:r>
        <w:rPr>
          <w:rFonts w:hint="eastAsia" w:ascii="仿宋_GB2312" w:hAnsi="仿宋_GB2312" w:eastAsia="仿宋_GB2312" w:cs="仿宋_GB2312"/>
          <w:color w:val="000000"/>
          <w:kern w:val="0"/>
          <w:sz w:val="32"/>
          <w:szCs w:val="32"/>
        </w:rPr>
        <w:t xml:space="preserve"> 份（其中正本 1 份、副本 </w:t>
      </w: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rPr>
        <w:t xml:space="preserve"> 份）,响应文件封面上标注“正本”、 “副本”字样，注明项目、项目名称和供应商名称。</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供应商应在仔细阅读竞选方案内容的基础上编制针对本项目的响应文件。</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xml:space="preserve">若正本与副本内容出现差异时，则以正本为准；副本可用正本的复印件。 </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xml:space="preserve">响应文件正本和副本应当采取胶装方式装订成册，不得散装或者合页装订。 响应文件的打印和书写应当清楚工整，不得出现字迹潦草、表达不清等可能导致非唯一理解的情形。任何修改、行间插字、涂改或增删，必须由供应商的法定代表人或其授权代表签字或盖个人印鉴。 </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color w:val="000000"/>
          <w:kern w:val="0"/>
          <w:sz w:val="32"/>
          <w:szCs w:val="32"/>
        </w:rPr>
        <w:t>响应文件正本必须使用不褪色、不变质的墨水书写或打印,并在规定签章处逐一签字和加盖公章，其响应单位加盖公章应为鲜章，签署、盖章和内容应完整、有效，</w:t>
      </w:r>
      <w:r>
        <w:rPr>
          <w:rFonts w:hint="eastAsia" w:ascii="仿宋_GB2312" w:hAnsi="仿宋_GB2312" w:eastAsia="仿宋_GB2312" w:cs="仿宋_GB2312"/>
          <w:b/>
          <w:bCs/>
          <w:color w:val="000000"/>
          <w:kern w:val="0"/>
          <w:sz w:val="32"/>
          <w:szCs w:val="32"/>
        </w:rPr>
        <w:t>未按要求加盖公章、骑缝章视为无效响应。</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xml:space="preserve">响应文件应统一使用 A4 幅面纸印制，逐页编目编码以方便评审小组查阅。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kern w:val="0"/>
          <w:sz w:val="32"/>
          <w:szCs w:val="32"/>
        </w:rPr>
        <w:t>（</w:t>
      </w:r>
      <w:r>
        <w:rPr>
          <w:rFonts w:hint="eastAsia" w:ascii="仿宋_GB2312" w:hAnsi="仿宋_GB2312" w:eastAsia="仿宋_GB2312" w:cs="仿宋_GB2312"/>
          <w:b/>
          <w:bCs/>
          <w:color w:val="000000"/>
          <w:kern w:val="0"/>
          <w:sz w:val="32"/>
          <w:szCs w:val="32"/>
          <w:lang w:eastAsia="zh-CN"/>
        </w:rPr>
        <w:t>三</w:t>
      </w:r>
      <w:r>
        <w:rPr>
          <w:rFonts w:hint="eastAsia" w:ascii="仿宋_GB2312" w:hAnsi="仿宋_GB2312" w:eastAsia="仿宋_GB2312" w:cs="仿宋_GB2312"/>
          <w:b/>
          <w:bCs/>
          <w:color w:val="000000"/>
          <w:kern w:val="0"/>
          <w:sz w:val="32"/>
          <w:szCs w:val="32"/>
        </w:rPr>
        <w:t xml:space="preserve">）响应文件的密封和标注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ab/>
      </w:r>
      <w:r>
        <w:rPr>
          <w:rFonts w:hint="eastAsia" w:ascii="仿宋_GB2312" w:hAnsi="仿宋_GB2312" w:eastAsia="仿宋_GB2312" w:cs="仿宋_GB2312"/>
          <w:color w:val="000000"/>
          <w:kern w:val="0"/>
          <w:sz w:val="32"/>
          <w:szCs w:val="32"/>
        </w:rPr>
        <w:t xml:space="preserve">供应商应将其响应文件用密封袋密封，并在封口处加盖单位公章；若不满足以上要求，将有可能拒收其响应文件。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ab/>
      </w:r>
      <w:r>
        <w:rPr>
          <w:rFonts w:hint="eastAsia" w:ascii="仿宋_GB2312" w:hAnsi="仿宋_GB2312" w:eastAsia="仿宋_GB2312" w:cs="仿宋_GB2312"/>
          <w:color w:val="000000"/>
          <w:kern w:val="0"/>
          <w:sz w:val="32"/>
          <w:szCs w:val="32"/>
        </w:rPr>
        <w:t>在密封袋封面上注明项目名称、编号、供应商名称、及“响应文件”字样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ab/>
      </w:r>
      <w:r>
        <w:rPr>
          <w:rFonts w:hint="eastAsia" w:ascii="仿宋_GB2312" w:hAnsi="仿宋_GB2312" w:eastAsia="仿宋_GB2312" w:cs="仿宋_GB2312"/>
          <w:color w:val="000000"/>
          <w:kern w:val="0"/>
          <w:sz w:val="32"/>
          <w:szCs w:val="32"/>
        </w:rPr>
        <w:t xml:space="preserve">如果未按前款规定密封和标记，采购人对响应文件的误投或提前拆封不负责任。对由此造成提前开封的响应文件，采购人将予以拒绝，并退回供应商。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rPr>
        <w:t>（</w:t>
      </w:r>
      <w:r>
        <w:rPr>
          <w:rFonts w:hint="eastAsia" w:ascii="仿宋_GB2312" w:hAnsi="仿宋_GB2312" w:eastAsia="仿宋_GB2312" w:cs="仿宋_GB2312"/>
          <w:b/>
          <w:bCs/>
          <w:color w:val="000000"/>
          <w:kern w:val="0"/>
          <w:sz w:val="32"/>
          <w:szCs w:val="32"/>
          <w:lang w:eastAsia="zh-CN"/>
        </w:rPr>
        <w:t>四</w:t>
      </w:r>
      <w:r>
        <w:rPr>
          <w:rFonts w:hint="eastAsia" w:ascii="仿宋_GB2312" w:hAnsi="仿宋_GB2312" w:eastAsia="仿宋_GB2312" w:cs="仿宋_GB2312"/>
          <w:b/>
          <w:bCs/>
          <w:color w:val="000000"/>
          <w:kern w:val="0"/>
          <w:sz w:val="32"/>
          <w:szCs w:val="32"/>
        </w:rPr>
        <w:t xml:space="preserve">）响应文件的递交 </w:t>
      </w:r>
    </w:p>
    <w:p>
      <w:pPr>
        <w:keepNext w:val="0"/>
        <w:keepLines w:val="0"/>
        <w:pageBreakBefore w:val="0"/>
        <w:widowControl/>
        <w:kinsoku/>
        <w:wordWrap/>
        <w:overflowPunct/>
        <w:topLinePunct w:val="0"/>
        <w:autoSpaceDE/>
        <w:autoSpaceDN/>
        <w:bidi w:val="0"/>
        <w:adjustRightInd/>
        <w:snapToGrid/>
        <w:spacing w:line="560" w:lineRule="exact"/>
        <w:ind w:firstLine="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根据竞选时间现场提交</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lang w:eastAsia="zh-CN"/>
        </w:rPr>
        <w:t>五、</w:t>
      </w:r>
      <w:r>
        <w:rPr>
          <w:rFonts w:hint="eastAsia" w:ascii="仿宋_GB2312" w:hAnsi="仿宋_GB2312" w:eastAsia="仿宋_GB2312" w:cs="仿宋_GB2312"/>
          <w:b/>
          <w:bCs/>
          <w:color w:val="000000"/>
          <w:kern w:val="0"/>
          <w:sz w:val="32"/>
          <w:szCs w:val="32"/>
        </w:rPr>
        <w:t xml:space="preserve">评审 </w:t>
      </w:r>
    </w:p>
    <w:p>
      <w:pPr>
        <w:keepNext w:val="0"/>
        <w:keepLines w:val="0"/>
        <w:pageBreakBefore w:val="0"/>
        <w:widowControl/>
        <w:kinsoku/>
        <w:wordWrap/>
        <w:overflowPunct/>
        <w:topLinePunct w:val="0"/>
        <w:autoSpaceDE/>
        <w:autoSpaceDN/>
        <w:bidi w:val="0"/>
        <w:adjustRightInd/>
        <w:snapToGrid/>
        <w:spacing w:line="560" w:lineRule="exact"/>
        <w:ind w:firstLine="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xml:space="preserve">1.本项目评审方法为：综合评分法。综合评分法是指响应文件满足竞选文件全部资格、技术要求且评分最高的供应商为中选候选人的评审方法； </w:t>
      </w:r>
    </w:p>
    <w:p>
      <w:pPr>
        <w:keepNext w:val="0"/>
        <w:keepLines w:val="0"/>
        <w:pageBreakBefore w:val="0"/>
        <w:widowControl/>
        <w:kinsoku/>
        <w:wordWrap/>
        <w:overflowPunct/>
        <w:topLinePunct w:val="0"/>
        <w:autoSpaceDE/>
        <w:autoSpaceDN/>
        <w:bidi w:val="0"/>
        <w:adjustRightInd/>
        <w:snapToGrid/>
        <w:spacing w:line="560" w:lineRule="exact"/>
        <w:ind w:firstLine="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xml:space="preserve">2.内江市第一人民医院对提交的所有响应文件均不退回。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lang w:eastAsia="zh-CN"/>
        </w:rPr>
        <w:t>六、</w:t>
      </w:r>
      <w:r>
        <w:rPr>
          <w:rFonts w:hint="eastAsia" w:ascii="仿宋_GB2312" w:hAnsi="仿宋_GB2312" w:eastAsia="仿宋_GB2312" w:cs="仿宋_GB2312"/>
          <w:b/>
          <w:bCs/>
          <w:color w:val="000000"/>
          <w:kern w:val="0"/>
          <w:sz w:val="32"/>
          <w:szCs w:val="32"/>
        </w:rPr>
        <w:t xml:space="preserve">评定程序 </w:t>
      </w:r>
    </w:p>
    <w:p>
      <w:pPr>
        <w:keepNext w:val="0"/>
        <w:keepLines w:val="0"/>
        <w:pageBreakBefore w:val="0"/>
        <w:widowControl/>
        <w:kinsoku/>
        <w:wordWrap/>
        <w:overflowPunct/>
        <w:topLinePunct w:val="0"/>
        <w:autoSpaceDE/>
        <w:autoSpaceDN/>
        <w:bidi w:val="0"/>
        <w:adjustRightInd/>
        <w:snapToGrid/>
        <w:spacing w:line="560" w:lineRule="exact"/>
        <w:ind w:firstLine="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xml:space="preserve">1. 接收响应文件 </w:t>
      </w:r>
    </w:p>
    <w:p>
      <w:pPr>
        <w:keepNext w:val="0"/>
        <w:keepLines w:val="0"/>
        <w:pageBreakBefore w:val="0"/>
        <w:tabs>
          <w:tab w:val="left" w:pos="1134"/>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供应商签到、递交响应文件，并当众接受检查（响应文件的数量、封装、标注等是否规范），没有按照要求进行密封和标识的，采购人有权根据具体情况拒绝接收供应商的响应文件。采购人在监督人员监督的情况下，开封所有响应文件。</w:t>
      </w:r>
    </w:p>
    <w:p>
      <w:pPr>
        <w:keepNext w:val="0"/>
        <w:keepLines w:val="0"/>
        <w:pageBreakBefore w:val="0"/>
        <w:tabs>
          <w:tab w:val="left" w:pos="1134"/>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2.评审小组对响应文件进行初步资格审查，初审不合格的按照无效响应文件处理，初审具体内容如下：</w:t>
      </w:r>
    </w:p>
    <w:p>
      <w:pPr>
        <w:keepNext w:val="0"/>
        <w:keepLines w:val="0"/>
        <w:pageBreakBefore w:val="0"/>
        <w:tabs>
          <w:tab w:val="left" w:pos="1134"/>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2.1响应文件未按照响应文件编制要求编制；</w:t>
      </w:r>
    </w:p>
    <w:p>
      <w:pPr>
        <w:keepNext w:val="0"/>
        <w:keepLines w:val="0"/>
        <w:pageBreakBefore w:val="0"/>
        <w:tabs>
          <w:tab w:val="left" w:pos="1134"/>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2.2响应文件中的资料未加盖供应商单位的公章；</w:t>
      </w:r>
    </w:p>
    <w:p>
      <w:pPr>
        <w:keepNext w:val="0"/>
        <w:keepLines w:val="0"/>
        <w:pageBreakBefore w:val="0"/>
        <w:tabs>
          <w:tab w:val="left" w:pos="1134"/>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2.3响应文件中法定代表人、委托代理人未签字；</w:t>
      </w:r>
    </w:p>
    <w:p>
      <w:pPr>
        <w:keepNext w:val="0"/>
        <w:keepLines w:val="0"/>
        <w:pageBreakBefore w:val="0"/>
        <w:tabs>
          <w:tab w:val="left" w:pos="1134"/>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2.4报价若高于最高限价；</w:t>
      </w:r>
    </w:p>
    <w:p>
      <w:pPr>
        <w:keepNext w:val="0"/>
        <w:keepLines w:val="0"/>
        <w:pageBreakBefore w:val="0"/>
        <w:tabs>
          <w:tab w:val="left" w:pos="1134"/>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2.5本竞选文件</w:t>
      </w:r>
      <w:r>
        <w:rPr>
          <w:rFonts w:hint="eastAsia" w:ascii="仿宋_GB2312" w:hAnsi="仿宋_GB2312" w:eastAsia="仿宋_GB2312" w:cs="仿宋_GB2312"/>
          <w:b/>
          <w:bCs/>
          <w:color w:val="000000"/>
          <w:kern w:val="0"/>
          <w:sz w:val="32"/>
          <w:szCs w:val="32"/>
        </w:rPr>
        <w:t>第六点、第七点</w:t>
      </w:r>
      <w:r>
        <w:rPr>
          <w:rFonts w:hint="eastAsia" w:ascii="仿宋_GB2312" w:hAnsi="仿宋_GB2312" w:eastAsia="仿宋_GB2312" w:cs="仿宋_GB2312"/>
          <w:color w:val="000000"/>
          <w:kern w:val="0"/>
          <w:sz w:val="32"/>
          <w:szCs w:val="32"/>
        </w:rPr>
        <w:t>要求提供的资格要求证明材料。</w:t>
      </w:r>
    </w:p>
    <w:p>
      <w:pPr>
        <w:keepNext w:val="0"/>
        <w:keepLines w:val="0"/>
        <w:pageBreakBefore w:val="0"/>
        <w:tabs>
          <w:tab w:val="left" w:pos="1134"/>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针对通过初步审查的供应商，评审小组按照评分规定的评审办法综合进行打分，并计算综合得分，评审小组根据综合得分情况，由高到低进行排序，评分最高的供应商为中选候选人。综合得分相同的，按报价由低到高顺序排列。得分且报价相同的，按服务方案得分高低顺序排列。得分、报价和服务方案得分均相同的，由采购人自行确定；</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rPr>
        <w:t>4</w:t>
      </w:r>
      <w:r>
        <w:rPr>
          <w:rFonts w:hint="eastAsia" w:ascii="仿宋_GB2312" w:hAnsi="仿宋_GB2312" w:eastAsia="仿宋_GB2312" w:cs="仿宋_GB2312"/>
          <w:color w:val="000000"/>
          <w:kern w:val="0"/>
          <w:sz w:val="32"/>
          <w:szCs w:val="32"/>
        </w:rPr>
        <w:t>.内江市第一人民医院将向中选供应商发出中选通知及合同，中选供应商</w:t>
      </w:r>
      <w:r>
        <w:rPr>
          <w:rFonts w:hint="eastAsia" w:ascii="仿宋_GB2312" w:hAnsi="仿宋_GB2312" w:eastAsia="仿宋_GB2312" w:cs="仿宋_GB2312"/>
          <w:color w:val="000000"/>
          <w:kern w:val="0"/>
          <w:sz w:val="32"/>
          <w:szCs w:val="32"/>
          <w:lang w:eastAsia="zh-CN"/>
        </w:rPr>
        <w:t>在收到</w:t>
      </w:r>
      <w:r>
        <w:rPr>
          <w:rFonts w:hint="eastAsia" w:ascii="仿宋_GB2312" w:hAnsi="仿宋_GB2312" w:eastAsia="仿宋_GB2312" w:cs="仿宋_GB2312"/>
          <w:color w:val="000000"/>
          <w:kern w:val="0"/>
          <w:sz w:val="32"/>
          <w:szCs w:val="32"/>
        </w:rPr>
        <w:t>中选</w:t>
      </w:r>
      <w:r>
        <w:rPr>
          <w:rFonts w:hint="eastAsia" w:ascii="仿宋_GB2312" w:hAnsi="仿宋_GB2312" w:eastAsia="仿宋_GB2312" w:cs="仿宋_GB2312"/>
          <w:color w:val="000000"/>
          <w:kern w:val="0"/>
          <w:sz w:val="32"/>
          <w:szCs w:val="32"/>
          <w:lang w:eastAsia="zh-CN"/>
        </w:rPr>
        <w:t>通知</w:t>
      </w:r>
      <w:r>
        <w:rPr>
          <w:rFonts w:hint="eastAsia" w:ascii="仿宋_GB2312" w:hAnsi="仿宋_GB2312" w:eastAsia="仿宋_GB2312" w:cs="仿宋_GB2312"/>
          <w:color w:val="000000"/>
          <w:kern w:val="0"/>
          <w:sz w:val="32"/>
          <w:szCs w:val="32"/>
        </w:rPr>
        <w:t xml:space="preserve">后3日内，按照本竞选文件拟定合同并传至的邮箱：2059632530@qq.com。格式为：“中选供应商名称+项目名称合同”； </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sectPr>
          <w:footerReference r:id="rId3" w:type="default"/>
          <w:pgSz w:w="11906" w:h="16838"/>
          <w:pgMar w:top="1440" w:right="1803" w:bottom="1440" w:left="1803" w:header="0" w:footer="567" w:gutter="0"/>
          <w:pgNumType w:start="1"/>
          <w:cols w:space="720" w:num="1"/>
          <w:docGrid w:linePitch="312" w:charSpace="0"/>
        </w:sectPr>
      </w:pPr>
      <w:r>
        <w:rPr>
          <w:rFonts w:hint="eastAsia" w:ascii="仿宋_GB2312" w:hAnsi="仿宋_GB2312" w:eastAsia="仿宋_GB2312" w:cs="仿宋_GB2312"/>
          <w:color w:val="000000"/>
          <w:kern w:val="0"/>
          <w:sz w:val="32"/>
          <w:szCs w:val="32"/>
          <w:lang w:val="en-US" w:eastAsia="zh-CN"/>
        </w:rPr>
        <w:t>5</w:t>
      </w:r>
      <w:r>
        <w:rPr>
          <w:rFonts w:hint="eastAsia" w:ascii="仿宋_GB2312" w:hAnsi="仿宋_GB2312" w:eastAsia="仿宋_GB2312" w:cs="仿宋_GB2312"/>
          <w:color w:val="000000"/>
          <w:kern w:val="0"/>
          <w:sz w:val="32"/>
          <w:szCs w:val="32"/>
        </w:rPr>
        <w:t>. 供应商应当书面澄清、说明或者更正。</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附件二：</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关于“两区手术室净化空调系统</w:t>
      </w:r>
      <w:r>
        <w:rPr>
          <w:rFonts w:hint="eastAsia" w:ascii="仿宋_GB2312" w:hAnsi="仿宋_GB2312" w:eastAsia="仿宋_GB2312" w:cs="仿宋_GB2312"/>
          <w:color w:val="000000"/>
          <w:kern w:val="0"/>
          <w:sz w:val="32"/>
          <w:szCs w:val="32"/>
          <w:lang w:val="en-US" w:eastAsia="zh-CN"/>
        </w:rPr>
        <w:t>2023</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eastAsia="zh-CN"/>
        </w:rPr>
        <w:t>年</w:t>
      </w:r>
      <w:r>
        <w:rPr>
          <w:rFonts w:hint="eastAsia" w:ascii="仿宋_GB2312" w:hAnsi="仿宋_GB2312" w:eastAsia="仿宋_GB2312" w:cs="仿宋_GB2312"/>
          <w:color w:val="000000"/>
          <w:kern w:val="0"/>
          <w:sz w:val="32"/>
          <w:szCs w:val="32"/>
        </w:rPr>
        <w:t>度维修保养</w:t>
      </w:r>
      <w:r>
        <w:rPr>
          <w:rFonts w:hint="eastAsia" w:ascii="仿宋_GB2312" w:hAnsi="仿宋_GB2312" w:eastAsia="仿宋_GB2312" w:cs="仿宋_GB2312"/>
          <w:color w:val="000000"/>
          <w:kern w:val="0"/>
          <w:sz w:val="32"/>
          <w:szCs w:val="32"/>
          <w:lang w:eastAsia="zh-CN"/>
        </w:rPr>
        <w:t>服务</w:t>
      </w:r>
      <w:r>
        <w:rPr>
          <w:rFonts w:hint="eastAsia" w:ascii="仿宋_GB2312" w:hAnsi="仿宋_GB2312" w:eastAsia="仿宋_GB2312" w:cs="仿宋_GB2312"/>
          <w:color w:val="000000"/>
          <w:kern w:val="0"/>
          <w:sz w:val="32"/>
          <w:szCs w:val="32"/>
        </w:rPr>
        <w:t>”各潜在供应商踏勘现场的通知</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各潜在供应商：</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根据磋商文件规定，特邀请各潜在供应商统一进行现场踏勘，相关事项通知如下：</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一、时间：2023年</w:t>
      </w:r>
      <w:r>
        <w:rPr>
          <w:rFonts w:hint="eastAsia" w:ascii="仿宋_GB2312" w:hAnsi="仿宋_GB2312" w:eastAsia="仿宋_GB2312" w:cs="仿宋_GB2312"/>
          <w:color w:val="000000"/>
          <w:kern w:val="0"/>
          <w:sz w:val="32"/>
          <w:szCs w:val="32"/>
          <w:lang w:val="en-US" w:eastAsia="zh-CN"/>
        </w:rPr>
        <w:t>2</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13</w:t>
      </w:r>
      <w:r>
        <w:rPr>
          <w:rFonts w:hint="eastAsia" w:ascii="仿宋_GB2312" w:hAnsi="仿宋_GB2312" w:eastAsia="仿宋_GB2312" w:cs="仿宋_GB2312"/>
          <w:color w:val="000000"/>
          <w:kern w:val="0"/>
          <w:sz w:val="32"/>
          <w:szCs w:val="32"/>
        </w:rPr>
        <w:t>日1</w:t>
      </w:r>
      <w:r>
        <w:rPr>
          <w:rFonts w:hint="eastAsia" w:ascii="仿宋_GB2312" w:hAnsi="仿宋_GB2312" w:eastAsia="仿宋_GB2312" w:cs="仿宋_GB2312"/>
          <w:color w:val="000000"/>
          <w:kern w:val="0"/>
          <w:sz w:val="32"/>
          <w:szCs w:val="32"/>
          <w:lang w:val="en-US" w:eastAsia="zh-CN"/>
        </w:rPr>
        <w:t>5</w:t>
      </w:r>
      <w:r>
        <w:rPr>
          <w:rFonts w:hint="eastAsia" w:ascii="仿宋_GB2312" w:hAnsi="仿宋_GB2312" w:eastAsia="仿宋_GB2312" w:cs="仿宋_GB2312"/>
          <w:color w:val="000000"/>
          <w:kern w:val="0"/>
          <w:sz w:val="32"/>
          <w:szCs w:val="32"/>
        </w:rPr>
        <w:t>时00分</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二、地点：内江市市中区汉安大道西段1866号(内江市第一人民医院新区)</w:t>
      </w:r>
      <w:bookmarkStart w:id="1" w:name="_GoBack"/>
      <w:bookmarkEnd w:id="1"/>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三、联系人：黄老师</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四、联系电话：13541616520</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五、供应商法定代表人或授权委托人到场参加，需递交供应商单位介绍信原件，本人身份证复印件并加盖公章(原件备查)。</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六、注意事项：</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1.采购人不组织潜在供应商签到、点名，不出具回执。</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2.采购人踏勘现场发生的费用自理。</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3.除采购人的原因外，供应商自行负责在踏勘现场中所发生的人员伤亡和财产损失。</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4.采购人在踏勘现场中介绍的工程场地和相关的周边环境情况，供潜在供应商在编制响应文件时参考，采购人不对供应商据此作出的判断和决策负责。</w:t>
      </w:r>
    </w:p>
    <w:p>
      <w:pPr>
        <w:pStyle w:val="2"/>
        <w:rPr>
          <w:rFonts w:hint="eastAsia" w:ascii="仿宋_GB2312" w:hAnsi="仿宋_GB2312" w:eastAsia="仿宋_GB2312" w:cs="仿宋_GB2312"/>
          <w:color w:val="000000"/>
          <w:kern w:val="0"/>
          <w:sz w:val="32"/>
          <w:szCs w:val="32"/>
        </w:rPr>
      </w:pPr>
    </w:p>
    <w:p>
      <w:pPr>
        <w:rPr>
          <w:rFonts w:hint="eastAsia"/>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附件三：</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内江市第一人民医院</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两区手术室净化空调系统</w:t>
      </w:r>
      <w:r>
        <w:rPr>
          <w:rFonts w:hint="eastAsia" w:ascii="仿宋_GB2312" w:hAnsi="仿宋_GB2312" w:eastAsia="仿宋_GB2312" w:cs="仿宋_GB2312"/>
          <w:b/>
          <w:sz w:val="32"/>
          <w:szCs w:val="32"/>
          <w:lang w:val="en-US" w:eastAsia="zh-CN"/>
        </w:rPr>
        <w:t>2023年</w:t>
      </w:r>
      <w:r>
        <w:rPr>
          <w:rFonts w:hint="eastAsia" w:ascii="仿宋_GB2312" w:hAnsi="仿宋_GB2312" w:eastAsia="仿宋_GB2312" w:cs="仿宋_GB2312"/>
          <w:b/>
          <w:sz w:val="32"/>
          <w:szCs w:val="32"/>
        </w:rPr>
        <w:t>年度</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维保服务竞选评分细则</w:t>
      </w:r>
    </w:p>
    <w:tbl>
      <w:tblPr>
        <w:tblStyle w:val="8"/>
        <w:tblW w:w="10915" w:type="dxa"/>
        <w:tblInd w:w="-1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134"/>
        <w:gridCol w:w="851"/>
        <w:gridCol w:w="6662"/>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sz w:val="24"/>
              </w:rPr>
            </w:pPr>
            <w:r>
              <w:rPr>
                <w:rFonts w:hint="eastAsia" w:ascii="仿宋_GB2312" w:hAnsi="仿宋_GB2312" w:eastAsia="仿宋_GB2312" w:cs="仿宋_GB2312"/>
                <w:b/>
                <w:sz w:val="24"/>
              </w:rPr>
              <w:t>序号</w:t>
            </w:r>
          </w:p>
        </w:tc>
        <w:tc>
          <w:tcPr>
            <w:tcW w:w="1134"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sz w:val="24"/>
              </w:rPr>
            </w:pPr>
            <w:r>
              <w:rPr>
                <w:rFonts w:hint="eastAsia" w:ascii="仿宋_GB2312" w:hAnsi="仿宋_GB2312" w:eastAsia="仿宋_GB2312" w:cs="仿宋_GB2312"/>
                <w:b/>
                <w:sz w:val="24"/>
              </w:rPr>
              <w:t>评分</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sz w:val="24"/>
              </w:rPr>
            </w:pPr>
            <w:r>
              <w:rPr>
                <w:rFonts w:hint="eastAsia" w:ascii="仿宋_GB2312" w:hAnsi="仿宋_GB2312" w:eastAsia="仿宋_GB2312" w:cs="仿宋_GB2312"/>
                <w:b/>
                <w:sz w:val="24"/>
              </w:rPr>
              <w:t>项目</w:t>
            </w:r>
          </w:p>
        </w:tc>
        <w:tc>
          <w:tcPr>
            <w:tcW w:w="851"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sz w:val="24"/>
              </w:rPr>
            </w:pPr>
            <w:r>
              <w:rPr>
                <w:rFonts w:hint="eastAsia" w:ascii="仿宋_GB2312" w:hAnsi="仿宋_GB2312" w:eastAsia="仿宋_GB2312" w:cs="仿宋_GB2312"/>
                <w:b/>
                <w:sz w:val="24"/>
              </w:rPr>
              <w:t>单项分值</w:t>
            </w:r>
          </w:p>
        </w:tc>
        <w:tc>
          <w:tcPr>
            <w:tcW w:w="6662"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sz w:val="24"/>
              </w:rPr>
            </w:pPr>
            <w:r>
              <w:rPr>
                <w:rFonts w:hint="eastAsia" w:ascii="仿宋_GB2312" w:hAnsi="仿宋_GB2312" w:eastAsia="仿宋_GB2312" w:cs="仿宋_GB2312"/>
                <w:b/>
                <w:sz w:val="24"/>
              </w:rPr>
              <w:t>评分内容</w:t>
            </w:r>
          </w:p>
        </w:tc>
        <w:tc>
          <w:tcPr>
            <w:tcW w:w="1559" w:type="dxa"/>
            <w:vAlign w:val="center"/>
          </w:tcPr>
          <w:p>
            <w:pPr>
              <w:keepNext w:val="0"/>
              <w:keepLines w:val="0"/>
              <w:pageBreakBefore w:val="0"/>
              <w:kinsoku/>
              <w:wordWrap/>
              <w:overflowPunct/>
              <w:topLinePunct w:val="0"/>
              <w:autoSpaceDE/>
              <w:autoSpaceDN/>
              <w:bidi w:val="0"/>
              <w:adjustRightInd/>
              <w:snapToGrid/>
              <w:spacing w:line="560" w:lineRule="exact"/>
              <w:ind w:firstLine="241" w:firstLineChars="100"/>
              <w:textAlignment w:val="auto"/>
              <w:rPr>
                <w:rFonts w:hint="eastAsia" w:ascii="仿宋_GB2312" w:hAnsi="仿宋_GB2312" w:eastAsia="仿宋_GB2312" w:cs="仿宋_GB2312"/>
                <w:b/>
                <w:sz w:val="24"/>
              </w:rPr>
            </w:pPr>
            <w:r>
              <w:rPr>
                <w:rFonts w:hint="eastAsia" w:ascii="仿宋_GB2312" w:hAnsi="仿宋_GB2312" w:eastAsia="仿宋_GB2312" w:cs="仿宋_GB2312"/>
                <w:b/>
                <w:sz w:val="24"/>
              </w:rPr>
              <w:t>评审因素</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sz w:val="24"/>
              </w:rPr>
            </w:pPr>
            <w:r>
              <w:rPr>
                <w:rFonts w:hint="eastAsia" w:ascii="仿宋_GB2312" w:hAnsi="仿宋_GB2312" w:eastAsia="仿宋_GB2312" w:cs="仿宋_GB2312"/>
                <w:b/>
                <w:sz w:val="24"/>
              </w:rPr>
              <w:t>（单项得分）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w:t>
            </w:r>
          </w:p>
        </w:tc>
        <w:tc>
          <w:tcPr>
            <w:tcW w:w="1134"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报价</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30</w:t>
            </w:r>
            <w:r>
              <w:rPr>
                <w:rFonts w:hint="eastAsia" w:ascii="仿宋_GB2312" w:hAnsi="仿宋_GB2312" w:eastAsia="仿宋_GB2312" w:cs="仿宋_GB2312"/>
                <w:sz w:val="24"/>
              </w:rPr>
              <w:t>%</w:t>
            </w:r>
          </w:p>
        </w:tc>
        <w:tc>
          <w:tcPr>
            <w:tcW w:w="851"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30</w:t>
            </w:r>
            <w:r>
              <w:rPr>
                <w:rFonts w:hint="eastAsia" w:ascii="仿宋_GB2312" w:hAnsi="仿宋_GB2312" w:eastAsia="仿宋_GB2312" w:cs="仿宋_GB2312"/>
                <w:sz w:val="24"/>
              </w:rPr>
              <w:t>分</w:t>
            </w:r>
          </w:p>
        </w:tc>
        <w:tc>
          <w:tcPr>
            <w:tcW w:w="6662" w:type="dxa"/>
          </w:tcPr>
          <w:p>
            <w:pPr>
              <w:keepNext w:val="0"/>
              <w:keepLines w:val="0"/>
              <w:pageBreakBefore w:val="0"/>
              <w:kinsoku/>
              <w:wordWrap/>
              <w:overflowPunct/>
              <w:topLinePunct w:val="0"/>
              <w:autoSpaceDE/>
              <w:autoSpaceDN/>
              <w:bidi w:val="0"/>
              <w:adjustRightInd/>
              <w:snapToGrid/>
              <w:spacing w:line="560" w:lineRule="exact"/>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以满足竞选文件要求且竞选价格最低的竞选报价为基准价，竞选报价分值=（基准价÷竞选报价）×</w:t>
            </w:r>
            <w:r>
              <w:rPr>
                <w:rFonts w:hint="eastAsia" w:ascii="仿宋_GB2312" w:hAnsi="仿宋_GB2312" w:eastAsia="仿宋_GB2312" w:cs="仿宋_GB2312"/>
                <w:sz w:val="24"/>
                <w:lang w:val="en-US" w:eastAsia="zh-CN"/>
              </w:rPr>
              <w:t>30</w:t>
            </w:r>
            <w:r>
              <w:rPr>
                <w:rFonts w:hint="eastAsia" w:ascii="仿宋_GB2312" w:hAnsi="仿宋_GB2312" w:eastAsia="仿宋_GB2312" w:cs="仿宋_GB2312"/>
                <w:sz w:val="24"/>
              </w:rPr>
              <w:t>（保留两位小数）</w:t>
            </w:r>
          </w:p>
        </w:tc>
        <w:tc>
          <w:tcPr>
            <w:tcW w:w="1559"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共同评审</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2</w:t>
            </w:r>
          </w:p>
        </w:tc>
        <w:tc>
          <w:tcPr>
            <w:tcW w:w="1134"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维保维护服务的实施方案3</w:t>
            </w:r>
            <w:r>
              <w:rPr>
                <w:rFonts w:hint="eastAsia" w:ascii="仿宋_GB2312" w:hAnsi="仿宋_GB2312" w:eastAsia="仿宋_GB2312" w:cs="仿宋_GB2312"/>
                <w:sz w:val="24"/>
                <w:lang w:val="en-US" w:eastAsia="zh-CN"/>
              </w:rPr>
              <w:t>2</w:t>
            </w:r>
            <w:r>
              <w:rPr>
                <w:rFonts w:hint="eastAsia" w:ascii="仿宋_GB2312" w:hAnsi="仿宋_GB2312" w:eastAsia="仿宋_GB2312" w:cs="仿宋_GB2312"/>
                <w:sz w:val="24"/>
              </w:rPr>
              <w:t>%</w:t>
            </w:r>
          </w:p>
        </w:tc>
        <w:tc>
          <w:tcPr>
            <w:tcW w:w="851"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3</w:t>
            </w:r>
            <w:r>
              <w:rPr>
                <w:rFonts w:hint="eastAsia" w:ascii="仿宋_GB2312" w:hAnsi="仿宋_GB2312" w:eastAsia="仿宋_GB2312" w:cs="仿宋_GB2312"/>
                <w:sz w:val="24"/>
                <w:lang w:val="en-US" w:eastAsia="zh-CN"/>
              </w:rPr>
              <w:t>2</w:t>
            </w:r>
            <w:r>
              <w:rPr>
                <w:rFonts w:hint="eastAsia" w:ascii="仿宋_GB2312" w:hAnsi="仿宋_GB2312" w:eastAsia="仿宋_GB2312" w:cs="仿宋_GB2312"/>
                <w:sz w:val="24"/>
              </w:rPr>
              <w:t>分</w:t>
            </w:r>
          </w:p>
        </w:tc>
        <w:tc>
          <w:tcPr>
            <w:tcW w:w="6662" w:type="dxa"/>
          </w:tcPr>
          <w:p>
            <w:pPr>
              <w:keepNext w:val="0"/>
              <w:keepLines w:val="0"/>
              <w:pageBreakBefore w:val="0"/>
              <w:kinsoku/>
              <w:wordWrap/>
              <w:overflowPunct/>
              <w:topLinePunct w:val="0"/>
              <w:autoSpaceDE/>
              <w:autoSpaceDN/>
              <w:bidi w:val="0"/>
              <w:adjustRightInd/>
              <w:snapToGrid/>
              <w:spacing w:line="560" w:lineRule="exact"/>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1、实施方案能高于竞选项目要求的得20分：实施方案能满足项目得15分；实施方案低于项目需求的得10分；</w:t>
            </w:r>
            <w:r>
              <w:rPr>
                <w:rFonts w:hint="eastAsia" w:ascii="仿宋_GB2312" w:hAnsi="仿宋_GB2312" w:eastAsia="仿宋_GB2312" w:cs="仿宋_GB2312"/>
                <w:sz w:val="24"/>
                <w:lang w:eastAsia="zh-CN"/>
              </w:rPr>
              <w:t>参与过现踏堪的供应商在上述得分项上加</w:t>
            </w:r>
            <w:r>
              <w:rPr>
                <w:rFonts w:hint="eastAsia" w:ascii="仿宋_GB2312" w:hAnsi="仿宋_GB2312" w:eastAsia="仿宋_GB2312" w:cs="仿宋_GB2312"/>
                <w:sz w:val="24"/>
                <w:lang w:val="en-US" w:eastAsia="zh-CN"/>
              </w:rPr>
              <w:t>2分；</w:t>
            </w:r>
            <w:r>
              <w:rPr>
                <w:rFonts w:hint="eastAsia" w:ascii="仿宋_GB2312" w:hAnsi="仿宋_GB2312" w:eastAsia="仿宋_GB2312" w:cs="仿宋_GB2312"/>
                <w:sz w:val="24"/>
              </w:rPr>
              <w:t>不能满足项目需求的此项得0分。此项最高2</w:t>
            </w:r>
            <w:r>
              <w:rPr>
                <w:rFonts w:hint="eastAsia" w:ascii="仿宋_GB2312" w:hAnsi="仿宋_GB2312" w:eastAsia="仿宋_GB2312" w:cs="仿宋_GB2312"/>
                <w:sz w:val="24"/>
                <w:lang w:val="en-US" w:eastAsia="zh-CN"/>
              </w:rPr>
              <w:t>2</w:t>
            </w:r>
            <w:r>
              <w:rPr>
                <w:rFonts w:hint="eastAsia" w:ascii="仿宋_GB2312" w:hAnsi="仿宋_GB2312" w:eastAsia="仿宋_GB2312" w:cs="仿宋_GB2312"/>
                <w:sz w:val="24"/>
              </w:rPr>
              <w:t>分。</w:t>
            </w:r>
          </w:p>
          <w:p>
            <w:pPr>
              <w:keepNext w:val="0"/>
              <w:keepLines w:val="0"/>
              <w:pageBreakBefore w:val="0"/>
              <w:kinsoku/>
              <w:wordWrap/>
              <w:overflowPunct/>
              <w:topLinePunct w:val="0"/>
              <w:autoSpaceDE/>
              <w:autoSpaceDN/>
              <w:bidi w:val="0"/>
              <w:adjustRightInd/>
              <w:snapToGrid/>
              <w:spacing w:line="560" w:lineRule="exact"/>
              <w:ind w:firstLine="480" w:firstLineChars="200"/>
              <w:jc w:val="left"/>
              <w:textAlignment w:val="auto"/>
              <w:rPr>
                <w:rFonts w:hint="eastAsia"/>
              </w:rPr>
            </w:pPr>
            <w:r>
              <w:rPr>
                <w:rFonts w:hint="eastAsia" w:ascii="仿宋_GB2312" w:hAnsi="仿宋_GB2312" w:eastAsia="仿宋_GB2312" w:cs="仿宋_GB2312"/>
                <w:sz w:val="24"/>
              </w:rPr>
              <w:t>2、实施方案中有对用户的响应以及与用户的沟通和联系等内容能高于项目需求的得10分：满足项目的需求的得8分；低于项目需求的得6分；不能满足项目需求的得0分。此项最高10分。</w:t>
            </w:r>
          </w:p>
        </w:tc>
        <w:tc>
          <w:tcPr>
            <w:tcW w:w="1559"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技术类评分因素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3</w:t>
            </w:r>
          </w:p>
        </w:tc>
        <w:tc>
          <w:tcPr>
            <w:tcW w:w="1134"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服务20%</w:t>
            </w:r>
          </w:p>
        </w:tc>
        <w:tc>
          <w:tcPr>
            <w:tcW w:w="851"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20分</w:t>
            </w:r>
          </w:p>
        </w:tc>
        <w:tc>
          <w:tcPr>
            <w:tcW w:w="6662" w:type="dxa"/>
          </w:tcPr>
          <w:p>
            <w:pPr>
              <w:keepNext w:val="0"/>
              <w:keepLines w:val="0"/>
              <w:pageBreakBefore w:val="0"/>
              <w:kinsoku/>
              <w:wordWrap/>
              <w:overflowPunct/>
              <w:topLinePunct w:val="0"/>
              <w:autoSpaceDE/>
              <w:autoSpaceDN/>
              <w:bidi w:val="0"/>
              <w:adjustRightInd/>
              <w:snapToGrid/>
              <w:spacing w:line="560" w:lineRule="exact"/>
              <w:ind w:firstLine="480" w:firstLineChars="200"/>
              <w:jc w:val="left"/>
              <w:textAlignment w:val="auto"/>
              <w:rPr>
                <w:rFonts w:hint="eastAsia" w:ascii="仿宋_GB2312" w:hAnsi="仿宋_GB2312" w:eastAsia="仿宋_GB2312" w:cs="仿宋_GB2312"/>
                <w:color w:val="FF0000"/>
                <w:sz w:val="24"/>
              </w:rPr>
            </w:pPr>
            <w:r>
              <w:rPr>
                <w:rFonts w:hint="eastAsia" w:ascii="仿宋_GB2312" w:hAnsi="仿宋_GB2312" w:eastAsia="仿宋_GB2312" w:cs="仿宋_GB2312"/>
                <w:sz w:val="24"/>
                <w:highlight w:val="none"/>
              </w:rPr>
              <w:t>1、在项目所在地设置有固定维修点得15分：（只设有24小时固定服务电话只得5分;只设有移动电话的应急响应服务电话只</w:t>
            </w:r>
            <w:r>
              <w:rPr>
                <w:rFonts w:hint="eastAsia" w:ascii="仿宋_GB2312" w:hAnsi="仿宋_GB2312" w:eastAsia="仿宋_GB2312" w:cs="仿宋_GB2312"/>
                <w:sz w:val="24"/>
                <w:highlight w:val="none"/>
                <w:lang w:val="en-US" w:eastAsia="zh-CN"/>
              </w:rPr>
              <w:t>得</w:t>
            </w:r>
            <w:r>
              <w:rPr>
                <w:rFonts w:hint="eastAsia" w:ascii="仿宋_GB2312" w:hAnsi="仿宋_GB2312" w:eastAsia="仿宋_GB2312" w:cs="仿宋_GB2312"/>
                <w:sz w:val="24"/>
                <w:highlight w:val="none"/>
              </w:rPr>
              <w:t>5分；只设有24小时服务投诉电话只得3分；只设有移动服务投诉电话的只得2分）；此项最高15分。</w:t>
            </w:r>
            <w:r>
              <w:rPr>
                <w:rFonts w:hint="eastAsia" w:ascii="仿宋_GB2312" w:hAnsi="仿宋_GB2312" w:eastAsia="仿宋_GB2312" w:cs="仿宋_GB2312"/>
                <w:sz w:val="24"/>
              </w:rPr>
              <w:t>（</w:t>
            </w:r>
            <w:r>
              <w:rPr>
                <w:rFonts w:hint="eastAsia" w:ascii="仿宋_GB2312" w:hAnsi="仿宋_GB2312" w:eastAsia="仿宋_GB2312" w:cs="仿宋_GB2312"/>
                <w:color w:val="FF0000"/>
                <w:sz w:val="24"/>
              </w:rPr>
              <w:t>本项目需提供相关证明材料）</w:t>
            </w:r>
          </w:p>
          <w:p>
            <w:pPr>
              <w:keepNext w:val="0"/>
              <w:keepLines w:val="0"/>
              <w:pageBreakBefore w:val="0"/>
              <w:kinsoku/>
              <w:wordWrap/>
              <w:overflowPunct/>
              <w:topLinePunct w:val="0"/>
              <w:autoSpaceDE/>
              <w:autoSpaceDN/>
              <w:bidi w:val="0"/>
              <w:adjustRightInd/>
              <w:snapToGrid/>
              <w:spacing w:line="560" w:lineRule="exact"/>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2、紧急服务响应时间优于竞选要求的得5分，符合竞选要求的得3分；不符的得0分；此项最高5分。</w:t>
            </w:r>
          </w:p>
        </w:tc>
        <w:tc>
          <w:tcPr>
            <w:tcW w:w="1559"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技术类评分因素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9" w:hRule="atLeast"/>
        </w:trPr>
        <w:tc>
          <w:tcPr>
            <w:tcW w:w="709"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4</w:t>
            </w:r>
          </w:p>
        </w:tc>
        <w:tc>
          <w:tcPr>
            <w:tcW w:w="1134"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履约能力</w:t>
            </w:r>
            <w:r>
              <w:rPr>
                <w:rFonts w:hint="eastAsia" w:ascii="仿宋_GB2312" w:hAnsi="仿宋_GB2312" w:eastAsia="仿宋_GB2312" w:cs="仿宋_GB2312"/>
                <w:sz w:val="24"/>
                <w:lang w:val="en-US" w:eastAsia="zh-CN"/>
              </w:rPr>
              <w:t>6</w:t>
            </w:r>
            <w:r>
              <w:rPr>
                <w:rFonts w:hint="eastAsia" w:ascii="仿宋_GB2312" w:hAnsi="仿宋_GB2312" w:eastAsia="仿宋_GB2312" w:cs="仿宋_GB2312"/>
                <w:sz w:val="24"/>
              </w:rPr>
              <w:t>%</w:t>
            </w:r>
          </w:p>
        </w:tc>
        <w:tc>
          <w:tcPr>
            <w:tcW w:w="851"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6</w:t>
            </w:r>
            <w:r>
              <w:rPr>
                <w:rFonts w:hint="eastAsia" w:ascii="仿宋_GB2312" w:hAnsi="仿宋_GB2312" w:eastAsia="仿宋_GB2312" w:cs="仿宋_GB2312"/>
                <w:sz w:val="24"/>
              </w:rPr>
              <w:t>分</w:t>
            </w:r>
          </w:p>
        </w:tc>
        <w:tc>
          <w:tcPr>
            <w:tcW w:w="6662" w:type="dxa"/>
          </w:tcPr>
          <w:p>
            <w:pPr>
              <w:pStyle w:val="2"/>
              <w:keepNext w:val="0"/>
              <w:keepLines w:val="0"/>
              <w:pageBreakBefore w:val="0"/>
              <w:numPr>
                <w:ilvl w:val="0"/>
                <w:numId w:val="0"/>
              </w:numPr>
              <w:kinsoku/>
              <w:wordWrap/>
              <w:overflowPunct/>
              <w:topLinePunct w:val="0"/>
              <w:autoSpaceDE/>
              <w:autoSpaceDN/>
              <w:bidi w:val="0"/>
              <w:adjustRightInd/>
              <w:snapToGrid/>
              <w:spacing w:line="560" w:lineRule="exact"/>
              <w:ind w:left="240" w:leftChars="0"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根据供应商提供类似公共场所的项目业绩（20</w:t>
            </w:r>
            <w:r>
              <w:rPr>
                <w:rFonts w:hint="eastAsia" w:ascii="仿宋_GB2312" w:hAnsi="仿宋_GB2312" w:eastAsia="仿宋_GB2312" w:cs="仿宋_GB2312"/>
                <w:sz w:val="24"/>
                <w:lang w:val="en-US" w:eastAsia="zh-CN"/>
              </w:rPr>
              <w:t>20</w:t>
            </w:r>
            <w:r>
              <w:rPr>
                <w:rFonts w:hint="eastAsia" w:ascii="仿宋_GB2312" w:hAnsi="仿宋_GB2312" w:eastAsia="仿宋_GB2312" w:cs="仿宋_GB2312"/>
                <w:sz w:val="24"/>
              </w:rPr>
              <w:t>至今）进行评定，每提供一个类似项目业绩得1分，最多得</w:t>
            </w:r>
            <w:r>
              <w:rPr>
                <w:rFonts w:hint="eastAsia" w:ascii="仿宋_GB2312" w:hAnsi="仿宋_GB2312" w:eastAsia="仿宋_GB2312" w:cs="仿宋_GB2312"/>
                <w:sz w:val="24"/>
                <w:lang w:val="en-US" w:eastAsia="zh-CN"/>
              </w:rPr>
              <w:t>6</w:t>
            </w:r>
            <w:r>
              <w:rPr>
                <w:rFonts w:hint="eastAsia" w:ascii="仿宋_GB2312" w:hAnsi="仿宋_GB2312" w:eastAsia="仿宋_GB2312" w:cs="仿宋_GB2312"/>
                <w:sz w:val="24"/>
              </w:rPr>
              <w:t>分；</w:t>
            </w:r>
          </w:p>
          <w:p>
            <w:pPr>
              <w:pStyle w:val="2"/>
              <w:keepNext w:val="0"/>
              <w:keepLines w:val="0"/>
              <w:pageBreakBefore w:val="0"/>
              <w:numPr>
                <w:ilvl w:val="0"/>
                <w:numId w:val="0"/>
              </w:numPr>
              <w:kinsoku/>
              <w:wordWrap/>
              <w:overflowPunct/>
              <w:topLinePunct w:val="0"/>
              <w:autoSpaceDE/>
              <w:autoSpaceDN/>
              <w:bidi w:val="0"/>
              <w:adjustRightInd/>
              <w:snapToGrid/>
              <w:spacing w:line="560" w:lineRule="exact"/>
              <w:ind w:left="240" w:leftChars="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注：提供合同或者成交通知书复印件、证书复印件盖章</w:t>
            </w:r>
          </w:p>
        </w:tc>
        <w:tc>
          <w:tcPr>
            <w:tcW w:w="1559"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共同评审</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5</w:t>
            </w:r>
          </w:p>
        </w:tc>
        <w:tc>
          <w:tcPr>
            <w:tcW w:w="1134"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应急预案</w:t>
            </w:r>
            <w:r>
              <w:rPr>
                <w:rFonts w:hint="eastAsia" w:ascii="仿宋_GB2312" w:hAnsi="仿宋_GB2312" w:eastAsia="仿宋_GB2312" w:cs="仿宋_GB2312"/>
                <w:color w:val="auto"/>
                <w:sz w:val="24"/>
                <w:lang w:val="en-US" w:eastAsia="zh-CN"/>
              </w:rPr>
              <w:t>10</w:t>
            </w:r>
            <w:r>
              <w:rPr>
                <w:rFonts w:hint="eastAsia" w:ascii="仿宋_GB2312" w:hAnsi="仿宋_GB2312" w:eastAsia="仿宋_GB2312" w:cs="仿宋_GB2312"/>
                <w:color w:val="auto"/>
                <w:sz w:val="24"/>
              </w:rPr>
              <w:t>%</w:t>
            </w:r>
          </w:p>
        </w:tc>
        <w:tc>
          <w:tcPr>
            <w:tcW w:w="851"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val="en-US" w:eastAsia="zh-CN"/>
              </w:rPr>
              <w:t>10</w:t>
            </w:r>
            <w:r>
              <w:rPr>
                <w:rFonts w:hint="eastAsia" w:ascii="仿宋_GB2312" w:hAnsi="仿宋_GB2312" w:eastAsia="仿宋_GB2312" w:cs="仿宋_GB2312"/>
                <w:color w:val="auto"/>
                <w:sz w:val="24"/>
              </w:rPr>
              <w:t>分</w:t>
            </w:r>
          </w:p>
        </w:tc>
        <w:tc>
          <w:tcPr>
            <w:tcW w:w="6662" w:type="dxa"/>
          </w:tcPr>
          <w:p>
            <w:pPr>
              <w:keepNext w:val="0"/>
              <w:keepLines w:val="0"/>
              <w:pageBreakBefore w:val="0"/>
              <w:kinsoku/>
              <w:wordWrap/>
              <w:overflowPunct/>
              <w:topLinePunct w:val="0"/>
              <w:autoSpaceDE/>
              <w:autoSpaceDN/>
              <w:bidi w:val="0"/>
              <w:adjustRightInd/>
              <w:snapToGrid/>
              <w:spacing w:line="560" w:lineRule="exact"/>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针对竞选项目的应急保障需要，建立完善的应急服务预案，有明确的应急措施，保证在规定时间内到达现场及时处理问题且高于竞选项目实际需求的得</w:t>
            </w:r>
            <w:r>
              <w:rPr>
                <w:rFonts w:hint="eastAsia" w:ascii="仿宋_GB2312" w:hAnsi="仿宋_GB2312" w:eastAsia="仿宋_GB2312" w:cs="仿宋_GB2312"/>
                <w:sz w:val="24"/>
                <w:lang w:val="en-US" w:eastAsia="zh-CN"/>
              </w:rPr>
              <w:t>10</w:t>
            </w:r>
            <w:r>
              <w:rPr>
                <w:rFonts w:hint="eastAsia" w:ascii="仿宋_GB2312" w:hAnsi="仿宋_GB2312" w:eastAsia="仿宋_GB2312" w:cs="仿宋_GB2312"/>
                <w:sz w:val="24"/>
              </w:rPr>
              <w:t>分；完全满足竞选项目实际需求的得</w:t>
            </w:r>
            <w:r>
              <w:rPr>
                <w:rFonts w:hint="eastAsia" w:ascii="仿宋_GB2312" w:hAnsi="仿宋_GB2312" w:eastAsia="仿宋_GB2312" w:cs="仿宋_GB2312"/>
                <w:sz w:val="24"/>
                <w:lang w:val="en-US" w:eastAsia="zh-CN"/>
              </w:rPr>
              <w:t>6</w:t>
            </w:r>
            <w:r>
              <w:rPr>
                <w:rFonts w:hint="eastAsia" w:ascii="仿宋_GB2312" w:hAnsi="仿宋_GB2312" w:eastAsia="仿宋_GB2312" w:cs="仿宋_GB2312"/>
                <w:sz w:val="24"/>
              </w:rPr>
              <w:t>分；如有一项细微偏差扣1分，直至该项分值扣完为止，没有应急预案不得分</w:t>
            </w:r>
            <w:r>
              <w:rPr>
                <w:rFonts w:hint="eastAsia" w:ascii="仿宋_GB2312" w:hAnsi="仿宋_GB2312" w:eastAsia="仿宋_GB2312" w:cs="仿宋_GB2312"/>
                <w:sz w:val="24"/>
                <w:lang w:eastAsia="zh-CN"/>
              </w:rPr>
              <w:t>，此项最高得分</w:t>
            </w:r>
            <w:r>
              <w:rPr>
                <w:rFonts w:hint="eastAsia" w:ascii="仿宋_GB2312" w:hAnsi="仿宋_GB2312" w:eastAsia="仿宋_GB2312" w:cs="仿宋_GB2312"/>
                <w:sz w:val="24"/>
                <w:lang w:val="en-US" w:eastAsia="zh-CN"/>
              </w:rPr>
              <w:t>10分</w:t>
            </w:r>
            <w:r>
              <w:rPr>
                <w:rFonts w:hint="eastAsia" w:ascii="仿宋_GB2312" w:hAnsi="仿宋_GB2312" w:eastAsia="仿宋_GB2312" w:cs="仿宋_GB2312"/>
                <w:sz w:val="24"/>
              </w:rPr>
              <w:t>。</w:t>
            </w:r>
          </w:p>
        </w:tc>
        <w:tc>
          <w:tcPr>
            <w:tcW w:w="1559"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技术类评分因素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6</w:t>
            </w:r>
          </w:p>
        </w:tc>
        <w:tc>
          <w:tcPr>
            <w:tcW w:w="1134"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竞选文件制作规范2%</w:t>
            </w:r>
          </w:p>
        </w:tc>
        <w:tc>
          <w:tcPr>
            <w:tcW w:w="851"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2分</w:t>
            </w:r>
          </w:p>
        </w:tc>
        <w:tc>
          <w:tcPr>
            <w:tcW w:w="6662" w:type="dxa"/>
          </w:tcPr>
          <w:p>
            <w:pPr>
              <w:keepNext w:val="0"/>
              <w:keepLines w:val="0"/>
              <w:pageBreakBefore w:val="0"/>
              <w:kinsoku/>
              <w:wordWrap/>
              <w:overflowPunct/>
              <w:topLinePunct w:val="0"/>
              <w:autoSpaceDE/>
              <w:autoSpaceDN/>
              <w:bidi w:val="0"/>
              <w:adjustRightInd/>
              <w:snapToGrid/>
              <w:spacing w:line="560" w:lineRule="exact"/>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竞选文件制作规范、编制完整、格式规范、内容清晰、装订整齐等没有细微偏差情形的得2分；有一项细微偏差扣0.5分，直至该项分值扣完为止。</w:t>
            </w:r>
          </w:p>
        </w:tc>
        <w:tc>
          <w:tcPr>
            <w:tcW w:w="1559" w:type="dxa"/>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共同评分</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gridSpan w:val="2"/>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sz w:val="24"/>
              </w:rPr>
            </w:pPr>
            <w:r>
              <w:rPr>
                <w:rFonts w:hint="eastAsia" w:ascii="仿宋_GB2312" w:hAnsi="仿宋_GB2312" w:eastAsia="仿宋_GB2312" w:cs="仿宋_GB2312"/>
                <w:b/>
                <w:sz w:val="24"/>
              </w:rPr>
              <w:t>备注</w:t>
            </w:r>
          </w:p>
        </w:tc>
        <w:tc>
          <w:tcPr>
            <w:tcW w:w="9072" w:type="dxa"/>
            <w:gridSpan w:val="3"/>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sz w:val="24"/>
              </w:rPr>
            </w:pPr>
            <w:r>
              <w:rPr>
                <w:rFonts w:hint="eastAsia" w:ascii="仿宋_GB2312" w:hAnsi="仿宋_GB2312" w:eastAsia="仿宋_GB2312" w:cs="仿宋_GB2312"/>
                <w:b/>
                <w:sz w:val="24"/>
              </w:rPr>
              <w:t>评分的取值按四舍五入法，保留小数点后两位。</w:t>
            </w:r>
          </w:p>
        </w:tc>
      </w:tr>
    </w:tbl>
    <w:p>
      <w:pPr>
        <w:keepNext w:val="0"/>
        <w:keepLines w:val="0"/>
        <w:pageBreakBefore w:val="0"/>
        <w:kinsoku/>
        <w:wordWrap/>
        <w:overflowPunct/>
        <w:topLinePunct w:val="0"/>
        <w:autoSpaceDE/>
        <w:autoSpaceDN/>
        <w:bidi w:val="0"/>
        <w:adjustRightInd/>
        <w:snapToGrid/>
        <w:spacing w:line="560" w:lineRule="exact"/>
        <w:ind w:left="136" w:leftChars="29" w:hanging="75" w:hangingChars="27"/>
        <w:textAlignment w:val="auto"/>
        <w:rPr>
          <w:rFonts w:asciiTheme="minorEastAsia" w:hAnsiTheme="minorEastAsia" w:eastAsiaTheme="minorEastAsia"/>
          <w:sz w:val="28"/>
          <w:szCs w:val="28"/>
        </w:rPr>
      </w:pPr>
    </w:p>
    <w:p>
      <w:pPr>
        <w:keepNext w:val="0"/>
        <w:keepLines w:val="0"/>
        <w:pageBreakBefore w:val="0"/>
        <w:kinsoku/>
        <w:wordWrap/>
        <w:overflowPunct/>
        <w:topLinePunct w:val="0"/>
        <w:autoSpaceDE/>
        <w:autoSpaceDN/>
        <w:bidi w:val="0"/>
        <w:adjustRightInd/>
        <w:snapToGrid/>
        <w:spacing w:line="560" w:lineRule="exact"/>
        <w:ind w:left="136" w:leftChars="29" w:hanging="75" w:hangingChars="27"/>
        <w:textAlignment w:val="auto"/>
        <w:rPr>
          <w:rFonts w:asciiTheme="minorEastAsia" w:hAnsiTheme="minorEastAsia" w:eastAsiaTheme="minorEastAsia"/>
          <w:sz w:val="28"/>
          <w:szCs w:val="28"/>
        </w:rPr>
      </w:pPr>
    </w:p>
    <w:p>
      <w:pPr>
        <w:keepNext w:val="0"/>
        <w:keepLines w:val="0"/>
        <w:pageBreakBefore w:val="0"/>
        <w:kinsoku/>
        <w:wordWrap/>
        <w:overflowPunct/>
        <w:topLinePunct w:val="0"/>
        <w:autoSpaceDE/>
        <w:autoSpaceDN/>
        <w:bidi w:val="0"/>
        <w:adjustRightInd/>
        <w:snapToGrid/>
        <w:spacing w:line="560" w:lineRule="exact"/>
        <w:ind w:left="136" w:leftChars="29" w:hanging="75" w:hangingChars="27"/>
        <w:textAlignment w:val="auto"/>
        <w:rPr>
          <w:rFonts w:ascii="仿宋_GB2312" w:hAnsi="宋体" w:eastAsia="仿宋_GB2312"/>
          <w:sz w:val="28"/>
          <w:szCs w:val="28"/>
        </w:rPr>
      </w:pPr>
    </w:p>
    <w:p>
      <w:pPr>
        <w:keepNext w:val="0"/>
        <w:keepLines w:val="0"/>
        <w:pageBreakBefore w:val="0"/>
        <w:kinsoku/>
        <w:wordWrap/>
        <w:overflowPunct/>
        <w:topLinePunct w:val="0"/>
        <w:autoSpaceDE/>
        <w:autoSpaceDN/>
        <w:bidi w:val="0"/>
        <w:adjustRightInd/>
        <w:snapToGrid/>
        <w:spacing w:line="560" w:lineRule="exact"/>
        <w:ind w:left="136" w:leftChars="29" w:hanging="75" w:hangingChars="27"/>
        <w:textAlignment w:val="auto"/>
        <w:rPr>
          <w:rFonts w:ascii="仿宋_GB2312" w:hAnsi="宋体" w:eastAsia="仿宋_GB2312"/>
          <w:sz w:val="28"/>
          <w:szCs w:val="28"/>
        </w:rPr>
      </w:pPr>
    </w:p>
    <w:p>
      <w:pPr>
        <w:keepNext w:val="0"/>
        <w:keepLines w:val="0"/>
        <w:pageBreakBefore w:val="0"/>
        <w:kinsoku/>
        <w:wordWrap/>
        <w:overflowPunct/>
        <w:topLinePunct w:val="0"/>
        <w:autoSpaceDE/>
        <w:autoSpaceDN/>
        <w:bidi w:val="0"/>
        <w:adjustRightInd/>
        <w:snapToGrid/>
        <w:spacing w:line="560" w:lineRule="exact"/>
        <w:ind w:left="136" w:leftChars="29" w:hanging="75" w:hangingChars="27"/>
        <w:textAlignment w:val="auto"/>
        <w:rPr>
          <w:rFonts w:ascii="仿宋_GB2312" w:hAnsi="宋体" w:eastAsia="仿宋_GB2312"/>
          <w:sz w:val="28"/>
          <w:szCs w:val="28"/>
        </w:rPr>
      </w:pPr>
    </w:p>
    <w:p>
      <w:pPr>
        <w:keepNext w:val="0"/>
        <w:keepLines w:val="0"/>
        <w:pageBreakBefore w:val="0"/>
        <w:kinsoku/>
        <w:wordWrap/>
        <w:overflowPunct/>
        <w:topLinePunct w:val="0"/>
        <w:autoSpaceDE/>
        <w:autoSpaceDN/>
        <w:bidi w:val="0"/>
        <w:adjustRightInd/>
        <w:snapToGrid/>
        <w:spacing w:line="560" w:lineRule="exact"/>
        <w:ind w:left="136" w:leftChars="29" w:hanging="75" w:hangingChars="27"/>
        <w:textAlignment w:val="auto"/>
        <w:rPr>
          <w:rFonts w:ascii="仿宋_GB2312" w:hAnsi="宋体" w:eastAsia="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6205" cy="1397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16205" cy="139700"/>
                      </a:xfrm>
                      <a:prstGeom prst="rect">
                        <a:avLst/>
                      </a:prstGeom>
                      <a:noFill/>
                      <a:ln>
                        <a:noFill/>
                      </a:ln>
                    </wps:spPr>
                    <wps:txbx>
                      <w:txbxContent>
                        <w:p>
                          <w:pPr>
                            <w:pStyle w:val="4"/>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1pt;width:9.15pt;mso-position-horizontal:center;mso-position-horizontal-relative:margin;mso-wrap-style:none;z-index:251659264;mso-width-relative:page;mso-height-relative:page;" filled="f" stroked="f" coordsize="21600,21600" o:gfxdata="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Bi6WFNAAAAADAQAADwAAAAAAAAABACAAAAAiAAAAZHJzL2Rvd25y&#10;ZXYueG1sUEsBAhQAFAAAAAgAh07iQMoDFErNAQAAlwMAAA4AAAAAAAAAAQAgAAAAHwEAAGRycy9l&#10;Mm9Eb2MueG1sUEsFBgAAAAAGAAYAWQEAAF4FAAAAAA==&#10;">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mMjhiNmQ5YzA1MmRhNWIwODc5ZDdmNDQ1NWUzODgifQ=="/>
  </w:docVars>
  <w:rsids>
    <w:rsidRoot w:val="002E0C36"/>
    <w:rsid w:val="00021B04"/>
    <w:rsid w:val="00043B73"/>
    <w:rsid w:val="000473BD"/>
    <w:rsid w:val="00071C45"/>
    <w:rsid w:val="000C0003"/>
    <w:rsid w:val="000D313F"/>
    <w:rsid w:val="001550D8"/>
    <w:rsid w:val="001C4409"/>
    <w:rsid w:val="001E4AC3"/>
    <w:rsid w:val="001E53B7"/>
    <w:rsid w:val="001F6F3F"/>
    <w:rsid w:val="00202144"/>
    <w:rsid w:val="002157E6"/>
    <w:rsid w:val="002E0C36"/>
    <w:rsid w:val="003715EC"/>
    <w:rsid w:val="00374125"/>
    <w:rsid w:val="003A1599"/>
    <w:rsid w:val="003D7537"/>
    <w:rsid w:val="00434964"/>
    <w:rsid w:val="00497B58"/>
    <w:rsid w:val="0055476E"/>
    <w:rsid w:val="00562050"/>
    <w:rsid w:val="00584D2D"/>
    <w:rsid w:val="00656E3F"/>
    <w:rsid w:val="00657B7D"/>
    <w:rsid w:val="006A3897"/>
    <w:rsid w:val="00732EAF"/>
    <w:rsid w:val="007E63C3"/>
    <w:rsid w:val="008F2606"/>
    <w:rsid w:val="008F6343"/>
    <w:rsid w:val="00920E75"/>
    <w:rsid w:val="0098453C"/>
    <w:rsid w:val="00993CF4"/>
    <w:rsid w:val="009A6356"/>
    <w:rsid w:val="009C18D2"/>
    <w:rsid w:val="009D66F1"/>
    <w:rsid w:val="00B72E68"/>
    <w:rsid w:val="00B90E0F"/>
    <w:rsid w:val="00F33288"/>
    <w:rsid w:val="00F520E0"/>
    <w:rsid w:val="00F62382"/>
    <w:rsid w:val="00FA2406"/>
    <w:rsid w:val="069D0BDD"/>
    <w:rsid w:val="07565FB7"/>
    <w:rsid w:val="09596E65"/>
    <w:rsid w:val="0E534F31"/>
    <w:rsid w:val="11803BC7"/>
    <w:rsid w:val="17CD5252"/>
    <w:rsid w:val="180C2EB0"/>
    <w:rsid w:val="18674A43"/>
    <w:rsid w:val="19B41D07"/>
    <w:rsid w:val="25A477D9"/>
    <w:rsid w:val="26F90F40"/>
    <w:rsid w:val="288A7CBE"/>
    <w:rsid w:val="29AC079D"/>
    <w:rsid w:val="2B7552E4"/>
    <w:rsid w:val="2BA515BC"/>
    <w:rsid w:val="2BC5709C"/>
    <w:rsid w:val="2F165C1C"/>
    <w:rsid w:val="30DB4696"/>
    <w:rsid w:val="31961F6A"/>
    <w:rsid w:val="37390C2F"/>
    <w:rsid w:val="37910B93"/>
    <w:rsid w:val="388D0E8A"/>
    <w:rsid w:val="38FEA4A0"/>
    <w:rsid w:val="399403DF"/>
    <w:rsid w:val="3D1D0F40"/>
    <w:rsid w:val="3EFF7557"/>
    <w:rsid w:val="406B156B"/>
    <w:rsid w:val="47C56D9D"/>
    <w:rsid w:val="48DA2590"/>
    <w:rsid w:val="4E781804"/>
    <w:rsid w:val="547A1BBE"/>
    <w:rsid w:val="54A45A51"/>
    <w:rsid w:val="55F32F2F"/>
    <w:rsid w:val="596908AC"/>
    <w:rsid w:val="59FF2AF1"/>
    <w:rsid w:val="5B854CCE"/>
    <w:rsid w:val="5F1C36E6"/>
    <w:rsid w:val="61360A58"/>
    <w:rsid w:val="61446C03"/>
    <w:rsid w:val="6B5A3B47"/>
    <w:rsid w:val="6D702F45"/>
    <w:rsid w:val="6F2F5D42"/>
    <w:rsid w:val="6FBFE9FB"/>
    <w:rsid w:val="741E1EC6"/>
    <w:rsid w:val="752914A6"/>
    <w:rsid w:val="777FF18F"/>
    <w:rsid w:val="78760522"/>
    <w:rsid w:val="7E7B3C76"/>
    <w:rsid w:val="CAF633FA"/>
    <w:rsid w:val="E75396AA"/>
    <w:rsid w:val="EECF75D7"/>
    <w:rsid w:val="EF9FF65A"/>
    <w:rsid w:val="F97F20AB"/>
    <w:rsid w:val="FAC7A7E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Body Text"/>
    <w:basedOn w:val="1"/>
    <w:next w:val="1"/>
    <w:link w:val="12"/>
    <w:qFormat/>
    <w:uiPriority w:val="99"/>
    <w:pPr>
      <w:spacing w:after="120"/>
    </w:pPr>
  </w:style>
  <w:style w:type="paragraph" w:styleId="3">
    <w:name w:val="annotation text"/>
    <w:basedOn w:val="1"/>
    <w:unhideWhenUsed/>
    <w:qFormat/>
    <w:uiPriority w:val="99"/>
    <w:pPr>
      <w:jc w:val="left"/>
    </w:p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页眉 Char"/>
    <w:basedOn w:val="9"/>
    <w:link w:val="5"/>
    <w:semiHidden/>
    <w:qFormat/>
    <w:uiPriority w:val="99"/>
    <w:rPr>
      <w:rFonts w:ascii="Times New Roman" w:hAnsi="Times New Roman" w:eastAsia="宋体" w:cs="Times New Roman"/>
      <w:sz w:val="18"/>
      <w:szCs w:val="18"/>
    </w:rPr>
  </w:style>
  <w:style w:type="character" w:customStyle="1" w:styleId="11">
    <w:name w:val="页脚 Char"/>
    <w:basedOn w:val="9"/>
    <w:link w:val="4"/>
    <w:semiHidden/>
    <w:qFormat/>
    <w:uiPriority w:val="99"/>
    <w:rPr>
      <w:rFonts w:ascii="Times New Roman" w:hAnsi="Times New Roman" w:eastAsia="宋体" w:cs="Times New Roman"/>
      <w:sz w:val="18"/>
      <w:szCs w:val="18"/>
    </w:rPr>
  </w:style>
  <w:style w:type="character" w:customStyle="1" w:styleId="12">
    <w:name w:val="正文文本 Char"/>
    <w:basedOn w:val="9"/>
    <w:link w:val="2"/>
    <w:qFormat/>
    <w:uiPriority w:val="99"/>
    <w:rPr>
      <w:kern w:val="2"/>
      <w:sz w:val="21"/>
      <w:szCs w:val="24"/>
    </w:rPr>
  </w:style>
  <w:style w:type="paragraph" w:customStyle="1" w:styleId="13">
    <w:name w:val="_正文段落"/>
    <w:basedOn w:val="1"/>
    <w:qFormat/>
    <w:uiPriority w:val="0"/>
    <w:pPr>
      <w:spacing w:line="360" w:lineRule="auto"/>
      <w:ind w:left="200" w:firstLine="5832"/>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9004</Words>
  <Characters>9487</Characters>
  <Lines>75</Lines>
  <Paragraphs>21</Paragraphs>
  <TotalTime>36</TotalTime>
  <ScaleCrop>false</ScaleCrop>
  <LinksUpToDate>false</LinksUpToDate>
  <CharactersWithSpaces>9708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2020-12-15T18:12:00Z</dcterms:created>
  <dc:creator>s</dc:creator>
  <cp:lastModifiedBy>adminstrator</cp:lastModifiedBy>
  <cp:lastPrinted>2023-01-16T18:50:00Z</cp:lastPrinted>
  <dcterms:modified xsi:type="dcterms:W3CDTF">2023-02-08T08:03:41Z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A4BE8CB225BB4C6FB0808F27DAC89047</vt:lpwstr>
  </property>
</Properties>
</file>