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600" w:lineRule="exact"/>
        <w:ind w:firstLine="883" w:firstLineChars="200"/>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内江市第一人民医院</w:t>
      </w:r>
    </w:p>
    <w:p>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eastAsia"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rPr>
        <w:t>新区</w:t>
      </w:r>
      <w:r>
        <w:rPr>
          <w:rFonts w:hint="eastAsia" w:ascii="方正小标宋简体" w:hAnsi="方正小标宋简体" w:eastAsia="方正小标宋简体" w:cs="方正小标宋简体"/>
          <w:b/>
          <w:sz w:val="44"/>
          <w:szCs w:val="44"/>
          <w:lang w:val="en-US" w:eastAsia="zh-CN"/>
        </w:rPr>
        <w:t>32部</w:t>
      </w:r>
      <w:r>
        <w:rPr>
          <w:rFonts w:hint="eastAsia" w:ascii="方正小标宋简体" w:hAnsi="方正小标宋简体" w:eastAsia="方正小标宋简体" w:cs="方正小标宋简体"/>
          <w:b/>
          <w:sz w:val="44"/>
          <w:szCs w:val="44"/>
        </w:rPr>
        <w:t>电梯</w:t>
      </w:r>
      <w:r>
        <w:rPr>
          <w:rFonts w:hint="eastAsia" w:ascii="方正小标宋简体" w:hAnsi="方正小标宋简体" w:eastAsia="方正小标宋简体" w:cs="方正小标宋简体"/>
          <w:b/>
          <w:sz w:val="44"/>
          <w:szCs w:val="44"/>
          <w:lang w:val="en-US" w:eastAsia="zh-CN"/>
        </w:rPr>
        <w:t>年度</w:t>
      </w:r>
      <w:r>
        <w:rPr>
          <w:rFonts w:hint="eastAsia" w:ascii="方正小标宋简体" w:hAnsi="方正小标宋简体" w:eastAsia="方正小标宋简体" w:cs="方正小标宋简体"/>
          <w:b/>
          <w:sz w:val="44"/>
          <w:szCs w:val="44"/>
        </w:rPr>
        <w:t>维护保养</w:t>
      </w:r>
      <w:r>
        <w:rPr>
          <w:rFonts w:hint="eastAsia" w:ascii="方正小标宋简体" w:hAnsi="方正小标宋简体" w:eastAsia="方正小标宋简体" w:cs="方正小标宋简体"/>
          <w:b/>
          <w:sz w:val="44"/>
          <w:szCs w:val="44"/>
          <w:lang w:val="en-US" w:eastAsia="zh-CN"/>
        </w:rPr>
        <w:t>服务</w:t>
      </w:r>
      <w:r>
        <w:rPr>
          <w:rFonts w:hint="eastAsia" w:ascii="方正小标宋简体" w:hAnsi="方正小标宋简体" w:eastAsia="方正小标宋简体" w:cs="方正小标宋简体"/>
          <w:b/>
          <w:sz w:val="44"/>
          <w:szCs w:val="44"/>
        </w:rPr>
        <w:t>竞选</w:t>
      </w:r>
      <w:r>
        <w:rPr>
          <w:rFonts w:hint="eastAsia" w:ascii="方正小标宋简体" w:hAnsi="方正小标宋简体" w:eastAsia="方正小标宋简体" w:cs="方正小标宋简体"/>
          <w:b/>
          <w:sz w:val="44"/>
          <w:szCs w:val="44"/>
          <w:lang w:val="en-US" w:eastAsia="zh-CN"/>
        </w:rPr>
        <w:t>公告</w:t>
      </w:r>
    </w:p>
    <w:p>
      <w:pPr>
        <w:spacing w:line="240" w:lineRule="auto"/>
        <w:jc w:val="left"/>
        <w:rPr>
          <w:rFonts w:hint="eastAsia" w:ascii="仿宋" w:hAnsi="仿宋" w:eastAsia="仿宋" w:cs="Times New Roman"/>
          <w:b/>
          <w:sz w:val="32"/>
          <w:szCs w:val="32"/>
        </w:rPr>
      </w:pPr>
      <w:r>
        <w:rPr>
          <w:rFonts w:hint="eastAsia" w:ascii="仿宋" w:hAnsi="仿宋" w:eastAsia="仿宋" w:cs="Times New Roman"/>
          <w:b/>
          <w:sz w:val="32"/>
          <w:szCs w:val="32"/>
        </w:rPr>
        <w:t>一、竞选概况</w:t>
      </w:r>
    </w:p>
    <w:p>
      <w:pPr>
        <w:spacing w:line="240" w:lineRule="auto"/>
        <w:ind w:firstLine="643" w:firstLineChars="200"/>
        <w:jc w:val="left"/>
        <w:rPr>
          <w:rFonts w:ascii="仿宋" w:hAnsi="仿宋" w:eastAsia="仿宋"/>
          <w:sz w:val="32"/>
          <w:szCs w:val="32"/>
        </w:rPr>
      </w:pPr>
      <w:r>
        <w:rPr>
          <w:rFonts w:hint="eastAsia" w:ascii="仿宋" w:hAnsi="仿宋" w:eastAsia="仿宋" w:cs="Times New Roman"/>
          <w:b/>
          <w:sz w:val="32"/>
          <w:szCs w:val="32"/>
        </w:rPr>
        <w:t>1、根据《中华人民共和国安全生产法》、《中华人民共和国特种设备安全法》、《特种设备安全监察条例》、《四川省电梯安</w:t>
      </w:r>
      <w:r>
        <w:rPr>
          <w:rFonts w:ascii="仿宋" w:hAnsi="仿宋" w:eastAsia="仿宋" w:cs="宋体"/>
          <w:b/>
          <w:kern w:val="0"/>
          <w:sz w:val="32"/>
          <w:szCs w:val="32"/>
        </w:rPr>
        <w:t>全监督管理办法》</w:t>
      </w:r>
      <w:r>
        <w:rPr>
          <w:rFonts w:hint="eastAsia" w:ascii="仿宋" w:hAnsi="仿宋" w:eastAsia="仿宋"/>
          <w:sz w:val="32"/>
          <w:szCs w:val="32"/>
        </w:rPr>
        <w:t>的相关法规，对我院新区电</w:t>
      </w:r>
      <w:r>
        <w:rPr>
          <w:rFonts w:hint="eastAsia" w:ascii="仿宋" w:hAnsi="仿宋" w:eastAsia="仿宋"/>
          <w:sz w:val="32"/>
          <w:szCs w:val="32"/>
          <w:lang w:val="en-US" w:eastAsia="zh-CN"/>
        </w:rPr>
        <w:t>梯</w:t>
      </w:r>
      <w:r>
        <w:rPr>
          <w:rFonts w:hint="eastAsia" w:ascii="仿宋" w:hAnsi="仿宋" w:eastAsia="仿宋"/>
          <w:sz w:val="32"/>
          <w:szCs w:val="32"/>
        </w:rPr>
        <w:t>进行维护保养竞选；</w:t>
      </w:r>
    </w:p>
    <w:p>
      <w:pPr>
        <w:keepNext w:val="0"/>
        <w:keepLines w:val="0"/>
        <w:pageBreakBefore w:val="0"/>
        <w:kinsoku/>
        <w:wordWrap/>
        <w:overflowPunct/>
        <w:topLinePunct w:val="0"/>
        <w:autoSpaceDE/>
        <w:autoSpaceDN/>
        <w:bidi w:val="0"/>
        <w:adjustRightInd/>
        <w:snapToGrid/>
        <w:spacing w:line="240" w:lineRule="auto"/>
        <w:ind w:left="-376" w:leftChars="-171" w:firstLine="800" w:firstLineChars="250"/>
        <w:textAlignment w:val="auto"/>
        <w:rPr>
          <w:rFonts w:hint="eastAsia" w:ascii="仿宋_GB2312" w:hAnsi="仿宋_GB2312" w:eastAsia="仿宋_GB2312" w:cs="仿宋_GB2312"/>
          <w:sz w:val="32"/>
          <w:szCs w:val="32"/>
        </w:rPr>
      </w:pPr>
      <w:r>
        <w:rPr>
          <w:rFonts w:ascii="仿宋" w:hAnsi="仿宋" w:eastAsia="仿宋"/>
          <w:sz w:val="32"/>
          <w:szCs w:val="32"/>
        </w:rPr>
        <w:t>2</w:t>
      </w:r>
      <w:r>
        <w:rPr>
          <w:rFonts w:hint="eastAsia" w:ascii="仿宋" w:hAnsi="仿宋" w:eastAsia="仿宋"/>
          <w:sz w:val="32"/>
          <w:szCs w:val="32"/>
        </w:rPr>
        <w:t>、维护保养时间1年</w:t>
      </w:r>
      <w:r>
        <w:rPr>
          <w:rFonts w:hint="eastAsia" w:ascii="仿宋_GB2312" w:hAnsi="仿宋_GB2312" w:eastAsia="仿宋_GB2312" w:cs="仿宋_GB2312"/>
          <w:sz w:val="32"/>
          <w:szCs w:val="32"/>
        </w:rPr>
        <w:t>（具体时间以签订合同为准）。</w:t>
      </w:r>
    </w:p>
    <w:p>
      <w:pPr>
        <w:keepNext w:val="0"/>
        <w:keepLines w:val="0"/>
        <w:pageBreakBefore w:val="0"/>
        <w:kinsoku/>
        <w:wordWrap/>
        <w:overflowPunct/>
        <w:topLinePunct w:val="0"/>
        <w:autoSpaceDE/>
        <w:autoSpaceDN/>
        <w:bidi w:val="0"/>
        <w:adjustRightInd/>
        <w:snapToGrid/>
        <w:spacing w:line="240" w:lineRule="auto"/>
        <w:ind w:left="-376" w:leftChars="-171"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3、此次维修保养服务</w:t>
      </w:r>
      <w:r>
        <w:rPr>
          <w:rFonts w:hint="eastAsia" w:ascii="仿宋_GB2312" w:hAnsi="仿宋_GB2312" w:eastAsia="仿宋_GB2312" w:cs="仿宋_GB2312"/>
          <w:sz w:val="32"/>
          <w:szCs w:val="32"/>
          <w:lang w:val="en-US" w:eastAsia="zh-Hans"/>
        </w:rPr>
        <w:t>最高</w:t>
      </w:r>
      <w:r>
        <w:rPr>
          <w:rFonts w:hint="eastAsia" w:ascii="仿宋_GB2312" w:hAnsi="仿宋_GB2312" w:eastAsia="仿宋_GB2312" w:cs="仿宋_GB2312"/>
          <w:sz w:val="32"/>
          <w:szCs w:val="32"/>
        </w:rPr>
        <w:t>限价为人民币：</w:t>
      </w:r>
      <w:r>
        <w:rPr>
          <w:rFonts w:hint="default"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val="en-US" w:eastAsia="zh-Hans"/>
        </w:rPr>
        <w:t>元</w:t>
      </w:r>
      <w:r>
        <w:rPr>
          <w:rFonts w:hint="eastAsia" w:ascii="仿宋_GB2312" w:hAnsi="仿宋_GB2312" w:eastAsia="仿宋_GB2312" w:cs="仿宋_GB2312"/>
          <w:sz w:val="32"/>
          <w:szCs w:val="32"/>
        </w:rPr>
        <w:t>。</w:t>
      </w:r>
    </w:p>
    <w:p>
      <w:pPr>
        <w:spacing w:line="240" w:lineRule="auto"/>
        <w:ind w:firstLine="480" w:firstLineChars="150"/>
        <w:jc w:val="left"/>
        <w:rPr>
          <w:rFonts w:ascii="仿宋" w:hAnsi="仿宋" w:eastAsia="仿宋"/>
          <w:sz w:val="32"/>
          <w:szCs w:val="32"/>
        </w:rPr>
      </w:pPr>
      <w:r>
        <w:rPr>
          <w:rFonts w:hint="default" w:ascii="仿宋" w:hAnsi="仿宋" w:eastAsia="仿宋"/>
          <w:sz w:val="32"/>
          <w:szCs w:val="32"/>
          <w:lang w:val="en-US"/>
        </w:rPr>
        <w:t>4</w:t>
      </w:r>
      <w:r>
        <w:rPr>
          <w:rFonts w:hint="eastAsia" w:ascii="仿宋" w:hAnsi="仿宋" w:eastAsia="仿宋"/>
          <w:sz w:val="32"/>
          <w:szCs w:val="32"/>
        </w:rPr>
        <w:t>、设备详情：</w:t>
      </w:r>
    </w:p>
    <w:tbl>
      <w:tblPr>
        <w:tblStyle w:val="7"/>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913"/>
        <w:gridCol w:w="1504"/>
        <w:gridCol w:w="1618"/>
        <w:gridCol w:w="2321"/>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序号</w:t>
            </w:r>
          </w:p>
        </w:tc>
        <w:tc>
          <w:tcPr>
            <w:tcW w:w="1913"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电梯</w:t>
            </w:r>
            <w:r>
              <w:rPr>
                <w:rFonts w:hint="eastAsia" w:ascii="仿宋" w:hAnsi="仿宋" w:eastAsia="仿宋"/>
                <w:sz w:val="24"/>
                <w:szCs w:val="24"/>
                <w:lang w:val="en-US"/>
              </w:rPr>
              <w:t>品牌</w:t>
            </w:r>
          </w:p>
        </w:tc>
        <w:tc>
          <w:tcPr>
            <w:tcW w:w="1504"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lang w:val="en-US"/>
              </w:rPr>
              <w:t>载重（kg）</w:t>
            </w:r>
          </w:p>
        </w:tc>
        <w:tc>
          <w:tcPr>
            <w:tcW w:w="1618"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速</w:t>
            </w:r>
            <w:r>
              <w:rPr>
                <w:rFonts w:hint="eastAsia" w:ascii="仿宋" w:hAnsi="仿宋" w:eastAsia="仿宋"/>
                <w:sz w:val="24"/>
                <w:szCs w:val="24"/>
                <w:lang w:val="en-US"/>
              </w:rPr>
              <w:t>度</w:t>
            </w:r>
            <w:r>
              <w:rPr>
                <w:rFonts w:hint="eastAsia" w:ascii="仿宋" w:hAnsi="仿宋" w:eastAsia="仿宋"/>
                <w:sz w:val="24"/>
                <w:szCs w:val="24"/>
              </w:rPr>
              <w:t>（m/s)</w:t>
            </w:r>
          </w:p>
        </w:tc>
        <w:tc>
          <w:tcPr>
            <w:tcW w:w="2321"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层/站</w:t>
            </w:r>
          </w:p>
        </w:tc>
        <w:tc>
          <w:tcPr>
            <w:tcW w:w="1656"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电梯数量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w:t>
            </w:r>
          </w:p>
        </w:tc>
        <w:tc>
          <w:tcPr>
            <w:tcW w:w="19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西子奥的斯</w:t>
            </w:r>
          </w:p>
        </w:tc>
        <w:tc>
          <w:tcPr>
            <w:tcW w:w="1504"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1000</w:t>
            </w:r>
          </w:p>
        </w:tc>
        <w:tc>
          <w:tcPr>
            <w:tcW w:w="1618"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1.75</w:t>
            </w:r>
          </w:p>
        </w:tc>
        <w:tc>
          <w:tcPr>
            <w:tcW w:w="2321"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12/12</w:t>
            </w:r>
          </w:p>
        </w:tc>
        <w:tc>
          <w:tcPr>
            <w:tcW w:w="1656"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2</w:t>
            </w:r>
          </w:p>
        </w:tc>
        <w:tc>
          <w:tcPr>
            <w:tcW w:w="1913" w:type="dxa"/>
            <w:vAlign w:val="center"/>
          </w:tcPr>
          <w:p>
            <w:pPr>
              <w:spacing w:before="2" w:after="47" w:line="240" w:lineRule="auto"/>
              <w:jc w:val="center"/>
              <w:rPr>
                <w:rFonts w:ascii="仿宋" w:hAnsi="仿宋" w:eastAsia="仿宋"/>
                <w:sz w:val="24"/>
                <w:szCs w:val="24"/>
              </w:rPr>
            </w:pPr>
            <w:r>
              <w:rPr>
                <w:rFonts w:hint="eastAsia" w:ascii="仿宋" w:hAnsi="仿宋" w:eastAsia="仿宋"/>
                <w:sz w:val="24"/>
                <w:szCs w:val="24"/>
              </w:rPr>
              <w:t>西子奥的斯</w:t>
            </w:r>
          </w:p>
        </w:tc>
        <w:tc>
          <w:tcPr>
            <w:tcW w:w="1504"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1.75</w:t>
            </w:r>
          </w:p>
        </w:tc>
        <w:tc>
          <w:tcPr>
            <w:tcW w:w="2321"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12/12</w:t>
            </w:r>
          </w:p>
        </w:tc>
        <w:tc>
          <w:tcPr>
            <w:tcW w:w="1656"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3</w:t>
            </w:r>
          </w:p>
        </w:tc>
        <w:tc>
          <w:tcPr>
            <w:tcW w:w="1913" w:type="dxa"/>
            <w:vAlign w:val="center"/>
          </w:tcPr>
          <w:p>
            <w:pPr>
              <w:spacing w:before="2" w:after="47" w:line="240" w:lineRule="auto"/>
              <w:jc w:val="center"/>
              <w:rPr>
                <w:rFonts w:ascii="仿宋" w:hAnsi="仿宋" w:eastAsia="仿宋"/>
                <w:sz w:val="24"/>
                <w:szCs w:val="24"/>
              </w:rPr>
            </w:pPr>
            <w:r>
              <w:rPr>
                <w:rFonts w:hint="eastAsia" w:ascii="仿宋" w:hAnsi="仿宋" w:eastAsia="仿宋"/>
                <w:sz w:val="24"/>
                <w:szCs w:val="24"/>
              </w:rPr>
              <w:t>西子奥的斯</w:t>
            </w:r>
          </w:p>
        </w:tc>
        <w:tc>
          <w:tcPr>
            <w:tcW w:w="1504"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1.75</w:t>
            </w:r>
          </w:p>
        </w:tc>
        <w:tc>
          <w:tcPr>
            <w:tcW w:w="2321"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13/13</w:t>
            </w:r>
          </w:p>
        </w:tc>
        <w:tc>
          <w:tcPr>
            <w:tcW w:w="1656"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4</w:t>
            </w:r>
          </w:p>
        </w:tc>
        <w:tc>
          <w:tcPr>
            <w:tcW w:w="1913"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通用电梯</w:t>
            </w:r>
          </w:p>
        </w:tc>
        <w:tc>
          <w:tcPr>
            <w:tcW w:w="1504"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1600</w:t>
            </w:r>
          </w:p>
        </w:tc>
        <w:tc>
          <w:tcPr>
            <w:tcW w:w="1618"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1.0</w:t>
            </w:r>
          </w:p>
        </w:tc>
        <w:tc>
          <w:tcPr>
            <w:tcW w:w="2321"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6/6/6</w:t>
            </w:r>
          </w:p>
        </w:tc>
        <w:tc>
          <w:tcPr>
            <w:tcW w:w="1656"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5</w:t>
            </w:r>
          </w:p>
        </w:tc>
        <w:tc>
          <w:tcPr>
            <w:tcW w:w="19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rPr>
              <w:t>通用电梯</w:t>
            </w:r>
          </w:p>
        </w:tc>
        <w:tc>
          <w:tcPr>
            <w:tcW w:w="1504"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1350</w:t>
            </w:r>
          </w:p>
        </w:tc>
        <w:tc>
          <w:tcPr>
            <w:tcW w:w="1618"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lang w:val="en-US"/>
              </w:rPr>
              <w:t>1.0</w:t>
            </w:r>
          </w:p>
        </w:tc>
        <w:tc>
          <w:tcPr>
            <w:tcW w:w="2321"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lang w:val="en-US"/>
              </w:rPr>
              <w:t>6/6/6</w:t>
            </w:r>
          </w:p>
        </w:tc>
        <w:tc>
          <w:tcPr>
            <w:tcW w:w="1656"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6</w:t>
            </w:r>
          </w:p>
        </w:tc>
        <w:tc>
          <w:tcPr>
            <w:tcW w:w="1913"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通用电梯（扶梯）</w:t>
            </w:r>
          </w:p>
        </w:tc>
        <w:tc>
          <w:tcPr>
            <w:tcW w:w="1504"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w:t>
            </w:r>
          </w:p>
        </w:tc>
        <w:tc>
          <w:tcPr>
            <w:tcW w:w="1618"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0.5</w:t>
            </w:r>
          </w:p>
        </w:tc>
        <w:tc>
          <w:tcPr>
            <w:tcW w:w="2321"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w:t>
            </w:r>
          </w:p>
        </w:tc>
        <w:tc>
          <w:tcPr>
            <w:tcW w:w="1656" w:type="dxa"/>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13" w:type="dxa"/>
            <w:vAlign w:val="center"/>
          </w:tcPr>
          <w:p>
            <w:pPr>
              <w:pStyle w:val="9"/>
              <w:tabs>
                <w:tab w:val="left" w:pos="687"/>
              </w:tabs>
              <w:spacing w:before="2" w:after="47" w:line="240" w:lineRule="auto"/>
              <w:ind w:left="0" w:firstLine="0"/>
              <w:jc w:val="center"/>
              <w:rPr>
                <w:rFonts w:ascii="仿宋" w:hAnsi="仿宋" w:eastAsia="仿宋"/>
                <w:sz w:val="24"/>
                <w:szCs w:val="24"/>
                <w:lang w:val="en-US"/>
              </w:rPr>
            </w:pPr>
            <w:r>
              <w:rPr>
                <w:rFonts w:hint="eastAsia" w:ascii="仿宋" w:hAnsi="仿宋" w:eastAsia="仿宋"/>
                <w:sz w:val="24"/>
                <w:szCs w:val="24"/>
                <w:lang w:val="en-US"/>
              </w:rPr>
              <w:t>共计</w:t>
            </w:r>
          </w:p>
        </w:tc>
        <w:tc>
          <w:tcPr>
            <w:tcW w:w="9012" w:type="dxa"/>
            <w:gridSpan w:val="5"/>
            <w:vAlign w:val="center"/>
          </w:tcPr>
          <w:p>
            <w:pPr>
              <w:pStyle w:val="9"/>
              <w:tabs>
                <w:tab w:val="left" w:pos="687"/>
              </w:tabs>
              <w:spacing w:before="2" w:after="47" w:line="240" w:lineRule="auto"/>
              <w:ind w:left="0" w:firstLine="0"/>
              <w:jc w:val="center"/>
              <w:rPr>
                <w:rFonts w:ascii="仿宋" w:hAnsi="仿宋" w:eastAsia="仿宋"/>
                <w:sz w:val="24"/>
                <w:szCs w:val="24"/>
              </w:rPr>
            </w:pPr>
            <w:r>
              <w:rPr>
                <w:rFonts w:hint="eastAsia" w:ascii="仿宋" w:hAnsi="仿宋" w:eastAsia="仿宋"/>
                <w:sz w:val="24"/>
                <w:szCs w:val="24"/>
              </w:rPr>
              <w:t>32部电梯</w:t>
            </w:r>
          </w:p>
        </w:tc>
      </w:tr>
    </w:tbl>
    <w:p>
      <w:pPr>
        <w:spacing w:line="240" w:lineRule="auto"/>
        <w:rPr>
          <w:rFonts w:ascii="仿宋" w:hAnsi="仿宋" w:eastAsia="仿宋"/>
          <w:b/>
          <w:sz w:val="32"/>
          <w:szCs w:val="32"/>
        </w:rPr>
      </w:pPr>
      <w:r>
        <w:rPr>
          <w:rFonts w:hint="eastAsia" w:ascii="仿宋" w:hAnsi="仿宋" w:eastAsia="仿宋"/>
          <w:sz w:val="32"/>
          <w:szCs w:val="32"/>
        </w:rPr>
        <w:t>二、</w:t>
      </w:r>
      <w:r>
        <w:rPr>
          <w:rFonts w:hint="eastAsia" w:ascii="仿宋" w:hAnsi="仿宋" w:eastAsia="仿宋"/>
          <w:b/>
          <w:sz w:val="32"/>
          <w:szCs w:val="32"/>
        </w:rPr>
        <w:t xml:space="preserve">资质要求  </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1、供应商必须具有在中华人民共和国境内注册的独立企业法人资格；并且具有合法、有效的营业执照及经营范围；</w:t>
      </w:r>
    </w:p>
    <w:p>
      <w:pPr>
        <w:spacing w:line="240" w:lineRule="auto"/>
        <w:ind w:firstLine="640" w:firstLineChars="200"/>
        <w:rPr>
          <w:rFonts w:ascii="仿宋" w:hAnsi="仿宋" w:eastAsia="仿宋" w:cs="宋体"/>
          <w:sz w:val="32"/>
          <w:szCs w:val="32"/>
        </w:rPr>
      </w:pPr>
      <w:r>
        <w:rPr>
          <w:rFonts w:hint="eastAsia" w:ascii="仿宋" w:hAnsi="仿宋" w:eastAsia="仿宋" w:cs="宋体"/>
          <w:sz w:val="32"/>
          <w:szCs w:val="32"/>
        </w:rPr>
        <w:t>2、供应商必须是具《特种设备安装改造维修许可证》（电梯）证书、具备乘客电梯、自动扶梯维修B级及以上资质的特种设备经验的制造厂家或维保单位；</w:t>
      </w:r>
    </w:p>
    <w:p>
      <w:pPr>
        <w:keepNext w:val="0"/>
        <w:keepLines w:val="0"/>
        <w:pageBreakBefore w:val="0"/>
        <w:kinsoku/>
        <w:wordWrap/>
        <w:overflowPunct/>
        <w:topLinePunct w:val="0"/>
        <w:autoSpaceDE/>
        <w:autoSpaceDN/>
        <w:bidi w:val="0"/>
        <w:adjustRightInd/>
        <w:snapToGrid/>
        <w:spacing w:line="240" w:lineRule="auto"/>
        <w:ind w:left="-376"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w:t>
      </w:r>
      <w:r>
        <w:rPr>
          <w:rFonts w:hint="default" w:ascii="仿宋_GB2312" w:hAnsi="仿宋_GB2312" w:eastAsia="仿宋_GB2312" w:cs="仿宋_GB2312"/>
          <w:b/>
          <w:sz w:val="32"/>
          <w:szCs w:val="32"/>
          <w:lang w:val="en-US"/>
        </w:rPr>
        <w:t xml:space="preserve"> </w:t>
      </w:r>
      <w:r>
        <w:rPr>
          <w:rFonts w:hint="default" w:ascii="仿宋_GB2312" w:hAnsi="仿宋_GB2312" w:eastAsia="仿宋_GB2312" w:cs="仿宋_GB2312"/>
          <w:sz w:val="32"/>
          <w:szCs w:val="32"/>
          <w:lang w:val="en-US"/>
        </w:rPr>
        <w:t xml:space="preserve">    3</w:t>
      </w:r>
      <w:r>
        <w:rPr>
          <w:rFonts w:hint="eastAsia" w:ascii="仿宋_GB2312" w:hAnsi="仿宋_GB2312" w:eastAsia="仿宋_GB2312" w:cs="仿宋_GB2312"/>
          <w:sz w:val="32"/>
          <w:szCs w:val="32"/>
        </w:rPr>
        <w:t>、供应商必须具有履行合同所必需的设备和专业技术能力；</w:t>
      </w:r>
    </w:p>
    <w:p>
      <w:pPr>
        <w:keepNext w:val="0"/>
        <w:keepLines w:val="0"/>
        <w:pageBreakBefore w:val="0"/>
        <w:kinsoku/>
        <w:wordWrap/>
        <w:overflowPunct/>
        <w:topLinePunct w:val="0"/>
        <w:autoSpaceDE/>
        <w:autoSpaceDN/>
        <w:bidi w:val="0"/>
        <w:adjustRightInd/>
        <w:snapToGrid/>
        <w:spacing w:line="240" w:lineRule="auto"/>
        <w:ind w:left="-376" w:leftChars="-171" w:firstLine="960" w:firstLineChars="3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4</w:t>
      </w:r>
      <w:r>
        <w:rPr>
          <w:rFonts w:hint="eastAsia" w:ascii="仿宋_GB2312" w:hAnsi="仿宋_GB2312" w:eastAsia="仿宋_GB2312" w:cs="仿宋_GB2312"/>
          <w:sz w:val="32"/>
          <w:szCs w:val="32"/>
        </w:rPr>
        <w:t xml:space="preserve">、供应商必须具备相关法律、行政法规规定的其他条件； </w:t>
      </w:r>
    </w:p>
    <w:p>
      <w:pPr>
        <w:keepNext w:val="0"/>
        <w:keepLines w:val="0"/>
        <w:pageBreakBefore w:val="0"/>
        <w:kinsoku/>
        <w:wordWrap/>
        <w:overflowPunct/>
        <w:topLinePunct w:val="0"/>
        <w:autoSpaceDE/>
        <w:autoSpaceDN/>
        <w:bidi w:val="0"/>
        <w:adjustRightInd/>
        <w:snapToGrid/>
        <w:spacing w:line="240" w:lineRule="auto"/>
        <w:ind w:left="-376" w:leftChars="-171" w:firstLine="960" w:firstLineChars="3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5</w:t>
      </w:r>
      <w:r>
        <w:rPr>
          <w:rFonts w:hint="eastAsia" w:ascii="仿宋_GB2312" w:hAnsi="仿宋_GB2312" w:eastAsia="仿宋_GB2312" w:cs="仿宋_GB2312"/>
          <w:sz w:val="32"/>
          <w:szCs w:val="32"/>
        </w:rPr>
        <w:t>、供应商应具有良好的商业信誉，没有处于被责令停业,财产被接管、冻结破产状态。</w:t>
      </w:r>
    </w:p>
    <w:p>
      <w:pPr>
        <w:keepNext w:val="0"/>
        <w:keepLines w:val="0"/>
        <w:pageBreakBefore w:val="0"/>
        <w:kinsoku/>
        <w:wordWrap/>
        <w:overflowPunct/>
        <w:topLinePunct w:val="0"/>
        <w:autoSpaceDE/>
        <w:autoSpaceDN/>
        <w:bidi w:val="0"/>
        <w:adjustRightInd/>
        <w:snapToGrid/>
        <w:spacing w:line="240" w:lineRule="auto"/>
        <w:ind w:left="-376" w:leftChars="-171"/>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 xml:space="preserve">   </w:t>
      </w:r>
      <w:r>
        <w:rPr>
          <w:rFonts w:hint="default" w:ascii="仿宋_GB2312" w:hAnsi="仿宋_GB2312" w:eastAsia="仿宋_GB2312" w:cs="仿宋_GB2312"/>
          <w:sz w:val="32"/>
          <w:szCs w:val="32"/>
          <w:lang w:val="en-US"/>
        </w:rPr>
        <w:t xml:space="preserve">   6</w:t>
      </w:r>
      <w:r>
        <w:rPr>
          <w:rFonts w:hint="eastAsia" w:ascii="仿宋_GB2312" w:hAnsi="仿宋_GB2312" w:eastAsia="仿宋_GB2312" w:cs="仿宋_GB2312"/>
          <w:sz w:val="32"/>
          <w:szCs w:val="32"/>
        </w:rPr>
        <w:t>、供应商参选人不是单位法定代表的，需提供竞选单位法人身份证复印件及竞选委托书和参选个人身份证复印件</w:t>
      </w:r>
      <w:r>
        <w:rPr>
          <w:rFonts w:hint="default" w:ascii="仿宋_GB2312" w:hAnsi="仿宋_GB2312" w:eastAsia="仿宋_GB2312" w:cs="仿宋_GB2312"/>
          <w:sz w:val="32"/>
          <w:szCs w:val="32"/>
          <w:lang w:val="en-US"/>
        </w:rPr>
        <w:t xml:space="preserve">; </w:t>
      </w:r>
    </w:p>
    <w:p>
      <w:pPr>
        <w:keepNext w:val="0"/>
        <w:keepLines w:val="0"/>
        <w:pageBreakBefore w:val="0"/>
        <w:kinsoku/>
        <w:wordWrap/>
        <w:overflowPunct/>
        <w:topLinePunct w:val="0"/>
        <w:autoSpaceDE/>
        <w:autoSpaceDN/>
        <w:bidi w:val="0"/>
        <w:adjustRightInd/>
        <w:snapToGrid/>
        <w:spacing w:line="240" w:lineRule="auto"/>
        <w:ind w:left="-376" w:leftChars="-171" w:firstLine="960" w:firstLineChars="3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7</w:t>
      </w:r>
      <w:r>
        <w:rPr>
          <w:rFonts w:hint="eastAsia" w:ascii="仿宋_GB2312" w:hAnsi="仿宋_GB2312" w:eastAsia="仿宋_GB2312" w:cs="仿宋_GB2312"/>
          <w:sz w:val="32"/>
          <w:szCs w:val="32"/>
        </w:rPr>
        <w:t>、参加采购活动前三年内，在经营活动中没有重大违法记录；</w:t>
      </w:r>
    </w:p>
    <w:p>
      <w:pPr>
        <w:keepNext w:val="0"/>
        <w:keepLines w:val="0"/>
        <w:pageBreakBefore w:val="0"/>
        <w:kinsoku/>
        <w:wordWrap/>
        <w:overflowPunct/>
        <w:topLinePunct w:val="0"/>
        <w:autoSpaceDE/>
        <w:autoSpaceDN/>
        <w:bidi w:val="0"/>
        <w:adjustRightInd/>
        <w:snapToGrid/>
        <w:spacing w:line="240" w:lineRule="auto"/>
        <w:ind w:left="-376" w:leftChars="-171" w:firstLine="960" w:firstLineChars="3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8</w:t>
      </w:r>
      <w:r>
        <w:rPr>
          <w:rFonts w:hint="eastAsia" w:ascii="仿宋_GB2312" w:hAnsi="仿宋_GB2312" w:eastAsia="仿宋_GB2312" w:cs="仿宋_GB2312"/>
          <w:sz w:val="32"/>
          <w:szCs w:val="32"/>
        </w:rPr>
        <w:t>、本项目不接受联合体竞选；</w:t>
      </w:r>
    </w:p>
    <w:p>
      <w:pPr>
        <w:keepNext w:val="0"/>
        <w:keepLines w:val="0"/>
        <w:pageBreakBefore w:val="0"/>
        <w:kinsoku/>
        <w:wordWrap/>
        <w:overflowPunct/>
        <w:topLinePunct w:val="0"/>
        <w:autoSpaceDE/>
        <w:autoSpaceDN/>
        <w:bidi w:val="0"/>
        <w:adjustRightInd/>
        <w:snapToGrid/>
        <w:spacing w:line="240" w:lineRule="auto"/>
        <w:ind w:left="-376" w:leftChars="-171" w:firstLine="960" w:firstLineChars="3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9</w:t>
      </w:r>
      <w:r>
        <w:rPr>
          <w:rFonts w:hint="eastAsia" w:ascii="仿宋_GB2312" w:hAnsi="仿宋_GB2312" w:eastAsia="仿宋_GB2312" w:cs="仿宋_GB2312"/>
          <w:sz w:val="32"/>
          <w:szCs w:val="32"/>
        </w:rPr>
        <w:t>、本项目规定的其他要求。</w:t>
      </w:r>
    </w:p>
    <w:p>
      <w:pPr>
        <w:keepNext w:val="0"/>
        <w:keepLines w:val="0"/>
        <w:pageBreakBefore w:val="0"/>
        <w:kinsoku/>
        <w:wordWrap/>
        <w:overflowPunct/>
        <w:topLinePunct w:val="0"/>
        <w:autoSpaceDE/>
        <w:autoSpaceDN/>
        <w:bidi w:val="0"/>
        <w:adjustRightInd/>
        <w:snapToGrid/>
        <w:spacing w:line="240" w:lineRule="auto"/>
        <w:ind w:left="-376" w:leftChars="-171"/>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注：以上资料必须齐全，复印件须加盖竞选单位公章。</w:t>
      </w:r>
    </w:p>
    <w:p>
      <w:pPr>
        <w:spacing w:line="240" w:lineRule="auto"/>
        <w:jc w:val="both"/>
        <w:rPr>
          <w:rFonts w:ascii="仿宋" w:hAnsi="仿宋" w:eastAsia="仿宋"/>
          <w:b/>
          <w:sz w:val="32"/>
          <w:szCs w:val="32"/>
        </w:rPr>
      </w:pPr>
      <w:r>
        <w:rPr>
          <w:rFonts w:hint="eastAsia" w:ascii="仿宋" w:hAnsi="仿宋" w:eastAsia="仿宋"/>
          <w:b/>
          <w:sz w:val="32"/>
          <w:szCs w:val="32"/>
        </w:rPr>
        <w:t>三、维保服务要求及内容</w:t>
      </w:r>
    </w:p>
    <w:p>
      <w:pPr>
        <w:spacing w:line="240" w:lineRule="auto"/>
        <w:ind w:firstLine="643" w:firstLineChars="200"/>
        <w:jc w:val="left"/>
        <w:rPr>
          <w:rFonts w:ascii="仿宋" w:hAnsi="仿宋" w:eastAsia="仿宋"/>
          <w:b/>
          <w:sz w:val="32"/>
          <w:szCs w:val="32"/>
        </w:rPr>
      </w:pPr>
      <w:r>
        <w:rPr>
          <w:rFonts w:hint="eastAsia" w:ascii="仿宋" w:hAnsi="仿宋" w:eastAsia="仿宋"/>
          <w:b/>
          <w:sz w:val="32"/>
          <w:szCs w:val="32"/>
        </w:rPr>
        <w:t>1.服务要求：</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1.1本院（新区）驻点服务1人；</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1.2困人及故障应急维修工作需在5-1</w:t>
      </w:r>
      <w:r>
        <w:rPr>
          <w:rFonts w:hint="default" w:ascii="仿宋" w:hAnsi="仿宋" w:eastAsia="仿宋"/>
          <w:sz w:val="32"/>
          <w:szCs w:val="32"/>
          <w:lang w:val="en-US"/>
        </w:rPr>
        <w:t>5</w:t>
      </w:r>
      <w:r>
        <w:rPr>
          <w:rFonts w:hint="eastAsia" w:ascii="仿宋" w:hAnsi="仿宋" w:eastAsia="仿宋"/>
          <w:sz w:val="32"/>
          <w:szCs w:val="32"/>
        </w:rPr>
        <w:t>分钟内到达现场并处理；</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1.3电梯故障所需更换的零部件（除曳引主机、装饰、增加安全部件以外的电梯其它零部件等）易损件1小时内更换并恢复；安全部件及大型机械部件1-3天内更换并恢复；控制系统、主板、变频器1-7天内更换并恢复；</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1.4按相关法规要求完成电梯的日常维护保养，保证电梯的正常运行使用，保证出现故障时的及时修复。</w:t>
      </w:r>
    </w:p>
    <w:p>
      <w:pPr>
        <w:spacing w:line="240" w:lineRule="auto"/>
        <w:ind w:firstLine="643" w:firstLineChars="200"/>
        <w:jc w:val="left"/>
        <w:rPr>
          <w:rFonts w:ascii="仿宋" w:hAnsi="仿宋" w:eastAsia="仿宋"/>
          <w:b/>
          <w:sz w:val="32"/>
          <w:szCs w:val="32"/>
        </w:rPr>
      </w:pPr>
      <w:r>
        <w:rPr>
          <w:rFonts w:hint="eastAsia" w:ascii="仿宋" w:hAnsi="仿宋" w:eastAsia="仿宋"/>
          <w:b/>
          <w:sz w:val="32"/>
          <w:szCs w:val="32"/>
        </w:rPr>
        <w:t>★2.维保内容：</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2.1日常维护保养项目（内容）和要求：电梯维修保养符合《电梯维修规范》（GB/T18775-20025）、及《特种设备安全监察条例》的要求，必须达到或超过特种设备技术安全规范（TSGT5002-2017）《维护保养规则》等国家标准的要求；</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2.2通过有计划的检修、保养，保证电梯各部件在良性循环状态下运转，延长各部件的工作寿命，及时更换除曳引主机部件、电梯装饰、规则要求新增设的安全部件外的其它零部件。保证电梯正常安全顺畅运行；</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2.3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 xml:space="preserve">2.4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 </w:t>
      </w:r>
    </w:p>
    <w:p>
      <w:pPr>
        <w:spacing w:line="240" w:lineRule="auto"/>
        <w:ind w:firstLine="640" w:firstLineChars="200"/>
        <w:jc w:val="left"/>
        <w:rPr>
          <w:rFonts w:ascii="仿宋" w:hAnsi="仿宋" w:eastAsia="仿宋"/>
          <w:sz w:val="32"/>
          <w:szCs w:val="32"/>
        </w:rPr>
      </w:pPr>
      <w:r>
        <w:rPr>
          <w:rFonts w:ascii="仿宋" w:hAnsi="仿宋" w:eastAsia="仿宋"/>
          <w:sz w:val="32"/>
          <w:szCs w:val="32"/>
        </w:rPr>
        <w:t>2.5</w:t>
      </w:r>
      <w:r>
        <w:rPr>
          <w:rFonts w:hint="eastAsia" w:ascii="仿宋" w:hAnsi="仿宋" w:eastAsia="仿宋"/>
          <w:sz w:val="32"/>
          <w:szCs w:val="32"/>
        </w:rPr>
        <w:t>自配工作所需的工具和设备，保养或维修时须设置安全警示标志。</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2.6设立24小时维修热线电话，接到电梯困人故障或非困人故障报告后，维修人员需在15分钟内到达现场（无驻点维修人员需在30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2.7如本项目遇有重大接待任务、会议等情况，维保单位应提前对电梯进行安全检查，必要时加派维保人员到现场配合，免费提供全程监护服务。</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 xml:space="preserve">2.8维护保养的周期应根据电梯使用情况、工作环境而定，但只可增加，不能减少。 </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2.9维保单位承担所维修电梯发生的非人为因素引起的一切事故责任。</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2.10 维保单位应当对电梯维修做出相应的维修应急预案（预案需含解困、急修、备件、响应时间等相关容）；</w:t>
      </w:r>
    </w:p>
    <w:p>
      <w:pPr>
        <w:spacing w:line="240" w:lineRule="auto"/>
        <w:ind w:firstLine="640" w:firstLineChars="200"/>
        <w:jc w:val="left"/>
        <w:rPr>
          <w:rFonts w:hint="eastAsia" w:ascii="仿宋" w:hAnsi="仿宋" w:eastAsia="仿宋"/>
          <w:sz w:val="32"/>
          <w:szCs w:val="32"/>
          <w:lang w:eastAsia="zh-CN"/>
        </w:rPr>
      </w:pPr>
      <w:r>
        <w:rPr>
          <w:rFonts w:hint="eastAsia" w:ascii="仿宋" w:hAnsi="仿宋" w:eastAsia="仿宋"/>
          <w:sz w:val="32"/>
          <w:szCs w:val="32"/>
        </w:rPr>
        <w:t>2.11若发生下列情况</w:t>
      </w:r>
      <w:r>
        <w:rPr>
          <w:rFonts w:hint="eastAsia" w:ascii="仿宋" w:hAnsi="仿宋" w:eastAsia="仿宋"/>
          <w:sz w:val="32"/>
          <w:szCs w:val="32"/>
          <w:lang w:val="en-US" w:eastAsia="zh-Hans"/>
        </w:rPr>
        <w:t>之一的</w:t>
      </w:r>
      <w:r>
        <w:rPr>
          <w:rFonts w:hint="eastAsia" w:ascii="仿宋" w:hAnsi="仿宋" w:eastAsia="仿宋"/>
          <w:sz w:val="32"/>
          <w:szCs w:val="32"/>
        </w:rPr>
        <w:t>，</w:t>
      </w:r>
      <w:r>
        <w:rPr>
          <w:rFonts w:hint="eastAsia" w:ascii="仿宋" w:hAnsi="仿宋" w:eastAsia="仿宋"/>
          <w:sz w:val="32"/>
          <w:szCs w:val="32"/>
          <w:lang w:val="en-US" w:eastAsia="zh-Hans"/>
        </w:rPr>
        <w:t>维保单位应向采购人支付</w:t>
      </w:r>
      <w:r>
        <w:rPr>
          <w:rFonts w:hint="eastAsia" w:ascii="仿宋" w:hAnsi="仿宋" w:eastAsia="仿宋"/>
          <w:sz w:val="32"/>
          <w:szCs w:val="32"/>
        </w:rPr>
        <w:t>设备维保服务费</w:t>
      </w:r>
      <w:r>
        <w:rPr>
          <w:rFonts w:hint="eastAsia" w:ascii="仿宋" w:hAnsi="仿宋" w:eastAsia="仿宋"/>
          <w:sz w:val="32"/>
          <w:szCs w:val="32"/>
          <w:lang w:val="en-US" w:eastAsia="zh-Hans"/>
        </w:rPr>
        <w:t>总价款</w:t>
      </w:r>
      <w:r>
        <w:rPr>
          <w:rFonts w:hint="eastAsia" w:ascii="仿宋" w:hAnsi="仿宋" w:eastAsia="仿宋"/>
          <w:sz w:val="32"/>
          <w:szCs w:val="32"/>
        </w:rPr>
        <w:t>5%</w:t>
      </w:r>
      <w:r>
        <w:rPr>
          <w:rFonts w:hint="eastAsia" w:ascii="仿宋" w:hAnsi="仿宋" w:eastAsia="仿宋"/>
          <w:sz w:val="32"/>
          <w:szCs w:val="32"/>
          <w:lang w:val="en-US" w:eastAsia="zh-Hans"/>
        </w:rPr>
        <w:t>的违约金</w:t>
      </w:r>
      <w:r>
        <w:rPr>
          <w:rFonts w:hint="default" w:ascii="仿宋" w:hAnsi="仿宋" w:eastAsia="仿宋"/>
          <w:sz w:val="32"/>
          <w:szCs w:val="32"/>
          <w:lang w:eastAsia="zh-Hans"/>
        </w:rPr>
        <w:t>（</w:t>
      </w:r>
      <w:r>
        <w:rPr>
          <w:rFonts w:hint="eastAsia" w:ascii="仿宋" w:hAnsi="仿宋" w:eastAsia="仿宋"/>
          <w:sz w:val="32"/>
          <w:szCs w:val="32"/>
          <w:lang w:val="en-US" w:eastAsia="zh-Hans"/>
        </w:rPr>
        <w:t>每发生一次支付</w:t>
      </w:r>
      <w:r>
        <w:rPr>
          <w:rFonts w:hint="default" w:ascii="仿宋" w:hAnsi="仿宋" w:eastAsia="仿宋"/>
          <w:sz w:val="32"/>
          <w:szCs w:val="32"/>
          <w:lang w:eastAsia="zh-Hans"/>
        </w:rPr>
        <w:t>5%</w:t>
      </w:r>
      <w:r>
        <w:rPr>
          <w:rFonts w:hint="eastAsia" w:ascii="仿宋" w:hAnsi="仿宋" w:eastAsia="仿宋"/>
          <w:sz w:val="32"/>
          <w:szCs w:val="32"/>
          <w:lang w:val="en-US" w:eastAsia="zh-Hans"/>
        </w:rPr>
        <w:t>的违约金</w:t>
      </w:r>
      <w:r>
        <w:rPr>
          <w:rFonts w:hint="default" w:ascii="仿宋" w:hAnsi="仿宋" w:eastAsia="仿宋"/>
          <w:sz w:val="32"/>
          <w:szCs w:val="32"/>
          <w:lang w:eastAsia="zh-Hans"/>
        </w:rPr>
        <w:t>），</w:t>
      </w:r>
      <w:r>
        <w:rPr>
          <w:rFonts w:hint="eastAsia" w:ascii="仿宋" w:hAnsi="仿宋" w:eastAsia="仿宋"/>
          <w:sz w:val="32"/>
          <w:szCs w:val="32"/>
          <w:lang w:val="en-US" w:eastAsia="zh-Hans"/>
        </w:rPr>
        <w:t>维保单位同意采购人有权直接在结算时进行扣除</w:t>
      </w:r>
      <w:r>
        <w:rPr>
          <w:rFonts w:hint="eastAsia" w:ascii="仿宋" w:hAnsi="仿宋" w:eastAsia="仿宋"/>
          <w:sz w:val="32"/>
          <w:szCs w:val="32"/>
          <w:lang w:val="en-US" w:eastAsia="zh-CN"/>
        </w:rPr>
        <w:t>：</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⑴未完成日常保养任务；</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⑵电梯故障，未按要求的时间内到达现场；</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⑶电梯非正常运行或因故障连续停止运行1天以上。</w:t>
      </w:r>
    </w:p>
    <w:p>
      <w:pPr>
        <w:spacing w:line="240" w:lineRule="auto"/>
        <w:jc w:val="left"/>
        <w:rPr>
          <w:rFonts w:ascii="仿宋" w:hAnsi="仿宋" w:eastAsia="仿宋"/>
          <w:sz w:val="32"/>
          <w:szCs w:val="32"/>
        </w:rPr>
      </w:pPr>
      <w:r>
        <w:rPr>
          <w:rFonts w:hint="eastAsia" w:ascii="仿宋" w:hAnsi="仿宋" w:eastAsia="仿宋"/>
          <w:b/>
          <w:sz w:val="32"/>
          <w:szCs w:val="32"/>
        </w:rPr>
        <w:t>四、投递竞选书及参竞要求</w:t>
      </w:r>
    </w:p>
    <w:p>
      <w:pPr>
        <w:spacing w:line="240" w:lineRule="auto"/>
        <w:ind w:firstLine="640" w:firstLineChars="200"/>
        <w:rPr>
          <w:rFonts w:ascii="仿宋" w:hAnsi="仿宋" w:eastAsia="仿宋"/>
          <w:sz w:val="32"/>
          <w:szCs w:val="32"/>
        </w:rPr>
      </w:pPr>
      <w:r>
        <w:rPr>
          <w:rFonts w:hint="default" w:ascii="仿宋" w:hAnsi="仿宋" w:eastAsia="仿宋"/>
          <w:sz w:val="32"/>
          <w:szCs w:val="32"/>
          <w:lang w:val="en-US"/>
        </w:rPr>
        <w:t>1</w:t>
      </w:r>
      <w:r>
        <w:rPr>
          <w:rFonts w:hint="eastAsia" w:ascii="仿宋" w:hAnsi="仿宋" w:eastAsia="仿宋"/>
          <w:sz w:val="32"/>
          <w:szCs w:val="32"/>
        </w:rPr>
        <w:t>、符合条件且愿意参加竞选的单位于开选时到开选地点，递交竞选文件。竞选文件应报送3份，封口处盖骑缝章；</w:t>
      </w:r>
    </w:p>
    <w:p>
      <w:pPr>
        <w:spacing w:line="240" w:lineRule="auto"/>
        <w:ind w:firstLine="640" w:firstLineChars="200"/>
        <w:rPr>
          <w:rFonts w:ascii="仿宋" w:hAnsi="仿宋" w:eastAsia="仿宋"/>
          <w:sz w:val="32"/>
          <w:szCs w:val="32"/>
        </w:rPr>
      </w:pPr>
      <w:r>
        <w:rPr>
          <w:rFonts w:hint="default" w:ascii="仿宋" w:hAnsi="仿宋" w:eastAsia="仿宋"/>
          <w:sz w:val="32"/>
          <w:szCs w:val="32"/>
          <w:lang w:val="en-US"/>
        </w:rPr>
        <w:t>2</w:t>
      </w:r>
      <w:r>
        <w:rPr>
          <w:rFonts w:hint="eastAsia" w:ascii="仿宋" w:hAnsi="仿宋" w:eastAsia="仿宋"/>
          <w:sz w:val="32"/>
          <w:szCs w:val="32"/>
        </w:rPr>
        <w:t>、竞选所报价格必须包括维修、安装、调试、人工、应急服务、含税等；</w:t>
      </w:r>
    </w:p>
    <w:p>
      <w:pPr>
        <w:spacing w:line="240" w:lineRule="auto"/>
        <w:ind w:firstLine="640" w:firstLineChars="200"/>
        <w:rPr>
          <w:rFonts w:hint="eastAsia" w:ascii="仿宋" w:hAnsi="仿宋" w:eastAsia="仿宋" w:cs="宋体"/>
          <w:sz w:val="32"/>
          <w:szCs w:val="32"/>
        </w:rPr>
      </w:pPr>
      <w:r>
        <w:rPr>
          <w:rFonts w:hint="default" w:ascii="仿宋" w:hAnsi="仿宋" w:eastAsia="仿宋" w:cs="宋体"/>
          <w:sz w:val="32"/>
          <w:szCs w:val="32"/>
          <w:lang w:val="en-US"/>
        </w:rPr>
        <w:t>3</w:t>
      </w:r>
      <w:r>
        <w:rPr>
          <w:rFonts w:hint="eastAsia" w:ascii="仿宋" w:hAnsi="仿宋" w:eastAsia="仿宋" w:cs="宋体"/>
          <w:sz w:val="32"/>
          <w:szCs w:val="32"/>
        </w:rPr>
        <w:t>、供应商需提供此次项目的分项报价明细，说明报价组成部份。</w:t>
      </w:r>
    </w:p>
    <w:p>
      <w:pPr>
        <w:keepNext w:val="0"/>
        <w:keepLines w:val="0"/>
        <w:pageBreakBefore w:val="0"/>
        <w:widowControl w:val="0"/>
        <w:kinsoku/>
        <w:wordWrap/>
        <w:overflowPunct/>
        <w:topLinePunct w:val="0"/>
        <w:autoSpaceDE/>
        <w:autoSpaceDN/>
        <w:bidi w:val="0"/>
        <w:adjustRightInd/>
        <w:snapToGrid/>
        <w:spacing w:line="240" w:lineRule="auto"/>
        <w:ind w:firstLine="320" w:firstLineChars="100"/>
        <w:textAlignment w:val="auto"/>
      </w:pP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、供应商须仔细阅读附件</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内容</w:t>
      </w:r>
    </w:p>
    <w:p>
      <w:pPr>
        <w:spacing w:line="240" w:lineRule="auto"/>
        <w:rPr>
          <w:rFonts w:ascii="仿宋" w:hAnsi="仿宋" w:eastAsia="仿宋"/>
          <w:b/>
          <w:sz w:val="32"/>
          <w:szCs w:val="32"/>
        </w:rPr>
      </w:pPr>
      <w:r>
        <w:rPr>
          <w:rFonts w:hint="eastAsia" w:ascii="仿宋" w:hAnsi="仿宋" w:eastAsia="仿宋"/>
          <w:b/>
          <w:sz w:val="32"/>
          <w:szCs w:val="32"/>
        </w:rPr>
        <w:t>五、竞选时间</w:t>
      </w:r>
    </w:p>
    <w:p>
      <w:pPr>
        <w:spacing w:line="240" w:lineRule="auto"/>
        <w:ind w:left="587" w:leftChars="-533" w:hanging="1760" w:hangingChars="550"/>
        <w:jc w:val="left"/>
        <w:rPr>
          <w:rFonts w:ascii="仿宋" w:hAnsi="仿宋" w:eastAsia="仿宋"/>
          <w:sz w:val="32"/>
          <w:szCs w:val="32"/>
        </w:rPr>
      </w:pPr>
      <w:r>
        <w:rPr>
          <w:rFonts w:hint="eastAsia" w:ascii="仿宋" w:hAnsi="仿宋" w:eastAsia="仿宋"/>
          <w:sz w:val="32"/>
          <w:szCs w:val="32"/>
        </w:rPr>
        <w:t xml:space="preserve">           20</w:t>
      </w:r>
      <w:r>
        <w:rPr>
          <w:rFonts w:hint="eastAsia" w:ascii="仿宋" w:hAnsi="仿宋" w:eastAsia="仿宋"/>
          <w:sz w:val="32"/>
          <w:szCs w:val="32"/>
          <w:lang w:val="en-US" w:eastAsia="zh-CN"/>
        </w:rPr>
        <w:t>23</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20</w:t>
      </w:r>
      <w:r>
        <w:rPr>
          <w:rFonts w:hint="eastAsia" w:ascii="仿宋" w:hAnsi="仿宋" w:eastAsia="仿宋"/>
          <w:sz w:val="32"/>
          <w:szCs w:val="32"/>
        </w:rPr>
        <w:t>日上午10时。</w:t>
      </w:r>
    </w:p>
    <w:p>
      <w:pPr>
        <w:spacing w:line="240" w:lineRule="auto"/>
        <w:jc w:val="left"/>
        <w:rPr>
          <w:rFonts w:ascii="仿宋" w:hAnsi="仿宋" w:eastAsia="仿宋"/>
          <w:b/>
          <w:sz w:val="32"/>
          <w:szCs w:val="32"/>
        </w:rPr>
      </w:pPr>
      <w:r>
        <w:rPr>
          <w:rFonts w:hint="eastAsia" w:ascii="仿宋" w:hAnsi="仿宋" w:eastAsia="仿宋"/>
          <w:b/>
          <w:sz w:val="32"/>
          <w:szCs w:val="32"/>
        </w:rPr>
        <w:t>六、开选地点</w:t>
      </w:r>
    </w:p>
    <w:p>
      <w:pPr>
        <w:spacing w:line="240" w:lineRule="auto"/>
        <w:ind w:firstLine="640" w:firstLineChars="200"/>
        <w:jc w:val="left"/>
        <w:rPr>
          <w:rFonts w:ascii="仿宋" w:hAnsi="仿宋" w:eastAsia="仿宋"/>
          <w:sz w:val="32"/>
          <w:szCs w:val="32"/>
        </w:rPr>
      </w:pPr>
      <w:r>
        <w:rPr>
          <w:rFonts w:hint="eastAsia" w:ascii="仿宋" w:hAnsi="仿宋" w:eastAsia="仿宋"/>
          <w:sz w:val="32"/>
          <w:szCs w:val="32"/>
        </w:rPr>
        <w:t>内江市第一人民医院新区医院全科楼五楼会议室。</w:t>
      </w:r>
    </w:p>
    <w:p>
      <w:pPr>
        <w:spacing w:line="240" w:lineRule="auto"/>
        <w:rPr>
          <w:rFonts w:ascii="仿宋" w:hAnsi="仿宋" w:eastAsia="仿宋"/>
          <w:b/>
          <w:sz w:val="32"/>
          <w:szCs w:val="32"/>
        </w:rPr>
      </w:pPr>
      <w:r>
        <w:rPr>
          <w:rFonts w:hint="eastAsia" w:ascii="仿宋" w:hAnsi="仿宋" w:eastAsia="仿宋"/>
          <w:b/>
          <w:sz w:val="32"/>
          <w:szCs w:val="32"/>
        </w:rPr>
        <w:t>七、评选标准</w:t>
      </w:r>
    </w:p>
    <w:p>
      <w:pPr>
        <w:spacing w:line="240" w:lineRule="auto"/>
        <w:ind w:firstLine="640" w:firstLineChars="200"/>
        <w:rPr>
          <w:rFonts w:ascii="仿宋" w:hAnsi="仿宋" w:eastAsia="仿宋"/>
          <w:sz w:val="32"/>
          <w:szCs w:val="32"/>
        </w:rPr>
      </w:pPr>
      <w:r>
        <w:rPr>
          <w:rFonts w:hint="eastAsia" w:ascii="仿宋" w:hAnsi="仿宋" w:eastAsia="仿宋"/>
          <w:sz w:val="32"/>
          <w:szCs w:val="32"/>
        </w:rPr>
        <w:t>综合评比</w:t>
      </w:r>
      <w:r>
        <w:rPr>
          <w:rFonts w:hint="eastAsia" w:ascii="仿宋" w:hAnsi="仿宋" w:eastAsia="仿宋"/>
          <w:sz w:val="32"/>
          <w:szCs w:val="32"/>
          <w:lang w:eastAsia="zh-CN"/>
        </w:rPr>
        <w:t>（</w:t>
      </w:r>
      <w:r>
        <w:rPr>
          <w:rFonts w:hint="eastAsia" w:ascii="仿宋" w:hAnsi="仿宋" w:eastAsia="仿宋"/>
          <w:sz w:val="32"/>
          <w:szCs w:val="32"/>
          <w:lang w:val="en-US" w:eastAsia="zh-CN"/>
        </w:rPr>
        <w:t>详见附件</w:t>
      </w:r>
      <w:r>
        <w:rPr>
          <w:rFonts w:hint="eastAsia" w:ascii="仿宋" w:hAnsi="仿宋" w:eastAsia="仿宋"/>
          <w:sz w:val="32"/>
          <w:szCs w:val="32"/>
          <w:lang w:eastAsia="zh-CN"/>
        </w:rPr>
        <w:t>）</w:t>
      </w:r>
      <w:r>
        <w:rPr>
          <w:rFonts w:hint="eastAsia" w:ascii="仿宋" w:hAnsi="仿宋" w:eastAsia="仿宋"/>
          <w:sz w:val="32"/>
          <w:szCs w:val="32"/>
        </w:rPr>
        <w:t>。</w:t>
      </w:r>
    </w:p>
    <w:p>
      <w:pPr>
        <w:spacing w:line="240" w:lineRule="auto"/>
        <w:ind w:firstLine="643" w:firstLineChars="200"/>
        <w:rPr>
          <w:rFonts w:ascii="仿宋" w:hAnsi="仿宋" w:eastAsia="仿宋"/>
          <w:b/>
          <w:sz w:val="32"/>
          <w:szCs w:val="32"/>
        </w:rPr>
      </w:pPr>
      <w:r>
        <w:rPr>
          <w:rFonts w:hint="eastAsia" w:ascii="仿宋" w:hAnsi="仿宋" w:eastAsia="仿宋"/>
          <w:b/>
          <w:sz w:val="32"/>
          <w:szCs w:val="32"/>
        </w:rPr>
        <w:t>联系人：总务科  黄</w:t>
      </w:r>
      <w:r>
        <w:rPr>
          <w:rFonts w:ascii="仿宋" w:hAnsi="仿宋" w:eastAsia="仿宋"/>
          <w:b/>
          <w:sz w:val="32"/>
          <w:szCs w:val="32"/>
        </w:rPr>
        <w:t xml:space="preserve"> </w:t>
      </w:r>
      <w:r>
        <w:rPr>
          <w:rFonts w:hint="eastAsia" w:ascii="仿宋" w:hAnsi="仿宋" w:eastAsia="仿宋"/>
          <w:b/>
          <w:sz w:val="32"/>
          <w:szCs w:val="32"/>
        </w:rPr>
        <w:t>黎</w:t>
      </w:r>
    </w:p>
    <w:p>
      <w:pPr>
        <w:spacing w:line="240" w:lineRule="auto"/>
        <w:ind w:firstLine="643" w:firstLineChars="200"/>
        <w:rPr>
          <w:rFonts w:hint="eastAsia" w:ascii="仿宋" w:hAnsi="仿宋" w:eastAsia="仿宋"/>
          <w:b/>
          <w:sz w:val="32"/>
          <w:szCs w:val="32"/>
        </w:rPr>
      </w:pPr>
      <w:r>
        <w:rPr>
          <w:rFonts w:hint="eastAsia" w:ascii="仿宋" w:hAnsi="仿宋" w:eastAsia="仿宋"/>
          <w:b/>
          <w:sz w:val="32"/>
          <w:szCs w:val="32"/>
        </w:rPr>
        <w:t>联系电话：13541616520</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w:t>
      </w:r>
      <w:r>
        <w:rPr>
          <w:rFonts w:hint="eastAsia" w:ascii="仿宋_GB2312" w:hAnsi="仿宋_GB2312" w:eastAsia="仿宋_GB2312" w:cs="仿宋_GB2312"/>
          <w:b/>
          <w:sz w:val="32"/>
          <w:szCs w:val="32"/>
          <w:lang w:eastAsia="zh-CN"/>
        </w:rPr>
        <w:t>评分细则、</w:t>
      </w:r>
      <w:r>
        <w:rPr>
          <w:rFonts w:hint="eastAsia" w:ascii="仿宋_GB2312" w:hAnsi="仿宋_GB2312" w:eastAsia="仿宋_GB2312" w:cs="仿宋_GB2312"/>
          <w:b/>
          <w:sz w:val="32"/>
          <w:szCs w:val="32"/>
        </w:rPr>
        <w:t>供应商须知</w:t>
      </w:r>
    </w:p>
    <w:p>
      <w:pPr>
        <w:pStyle w:val="2"/>
        <w:spacing w:line="240" w:lineRule="auto"/>
      </w:pPr>
    </w:p>
    <w:p>
      <w:pPr>
        <w:spacing w:line="240" w:lineRule="auto"/>
        <w:rPr>
          <w:rFonts w:ascii="仿宋" w:hAnsi="仿宋" w:eastAsia="仿宋"/>
          <w:sz w:val="32"/>
          <w:szCs w:val="32"/>
        </w:rPr>
      </w:pPr>
    </w:p>
    <w:p>
      <w:pPr>
        <w:pStyle w:val="2"/>
        <w:spacing w:line="240" w:lineRule="auto"/>
        <w:rPr>
          <w:rFonts w:ascii="仿宋" w:hAnsi="仿宋" w:eastAsia="仿宋"/>
          <w:sz w:val="32"/>
          <w:szCs w:val="32"/>
        </w:rPr>
      </w:pPr>
    </w:p>
    <w:p>
      <w:pPr>
        <w:spacing w:line="240" w:lineRule="auto"/>
        <w:rPr>
          <w:rFonts w:ascii="仿宋" w:hAnsi="仿宋" w:eastAsia="仿宋"/>
          <w:sz w:val="32"/>
          <w:szCs w:val="32"/>
        </w:rPr>
      </w:pPr>
    </w:p>
    <w:p>
      <w:pPr>
        <w:pStyle w:val="2"/>
        <w:spacing w:line="240" w:lineRule="auto"/>
        <w:rPr>
          <w:rFonts w:ascii="仿宋" w:hAnsi="仿宋" w:eastAsia="仿宋"/>
          <w:sz w:val="32"/>
          <w:szCs w:val="32"/>
        </w:rPr>
      </w:pPr>
    </w:p>
    <w:p>
      <w:pPr>
        <w:spacing w:line="240" w:lineRule="auto"/>
        <w:rPr>
          <w:rFonts w:ascii="仿宋" w:hAnsi="仿宋" w:eastAsia="仿宋"/>
          <w:sz w:val="32"/>
          <w:szCs w:val="32"/>
        </w:rPr>
      </w:pPr>
    </w:p>
    <w:p>
      <w:pPr>
        <w:pStyle w:val="2"/>
        <w:spacing w:line="240" w:lineRule="auto"/>
        <w:rPr>
          <w:rFonts w:ascii="仿宋" w:hAnsi="仿宋" w:eastAsia="仿宋"/>
          <w:sz w:val="32"/>
          <w:szCs w:val="32"/>
        </w:rPr>
      </w:pPr>
    </w:p>
    <w:p>
      <w:pPr>
        <w:spacing w:line="240" w:lineRule="auto"/>
        <w:rPr>
          <w:rFonts w:ascii="仿宋" w:hAnsi="仿宋" w:eastAsia="仿宋"/>
          <w:sz w:val="32"/>
          <w:szCs w:val="32"/>
        </w:rPr>
      </w:pPr>
    </w:p>
    <w:p>
      <w:pPr>
        <w:pStyle w:val="2"/>
        <w:spacing w:line="240" w:lineRule="auto"/>
        <w:rPr>
          <w:rFonts w:ascii="仿宋" w:hAnsi="仿宋" w:eastAsia="仿宋"/>
          <w:sz w:val="32"/>
          <w:szCs w:val="32"/>
        </w:rPr>
      </w:pPr>
    </w:p>
    <w:p>
      <w:pPr>
        <w:spacing w:line="240" w:lineRule="auto"/>
        <w:rPr>
          <w:rFonts w:ascii="仿宋" w:hAnsi="仿宋" w:eastAsia="仿宋"/>
          <w:sz w:val="32"/>
          <w:szCs w:val="32"/>
        </w:rPr>
      </w:pPr>
    </w:p>
    <w:p>
      <w:pPr>
        <w:pStyle w:val="2"/>
        <w:spacing w:line="240" w:lineRule="auto"/>
        <w:rPr>
          <w:rFonts w:ascii="仿宋" w:hAnsi="仿宋" w:eastAsia="仿宋"/>
          <w:sz w:val="32"/>
          <w:szCs w:val="32"/>
        </w:rPr>
      </w:pPr>
    </w:p>
    <w:p>
      <w:pPr>
        <w:spacing w:line="240" w:lineRule="auto"/>
        <w:rPr>
          <w:rFonts w:ascii="仿宋" w:hAnsi="仿宋" w:eastAsia="仿宋"/>
          <w:sz w:val="32"/>
          <w:szCs w:val="32"/>
        </w:rPr>
      </w:pPr>
    </w:p>
    <w:p>
      <w:pPr>
        <w:spacing w:line="500" w:lineRule="exact"/>
        <w:jc w:val="left"/>
        <w:rPr>
          <w:rFonts w:hint="eastAsia" w:ascii="仿宋" w:hAnsi="仿宋" w:eastAsia="仿宋"/>
          <w:b/>
          <w:sz w:val="32"/>
          <w:szCs w:val="32"/>
          <w:lang w:eastAsia="zh-CN"/>
        </w:rPr>
      </w:pPr>
    </w:p>
    <w:p>
      <w:pPr>
        <w:spacing w:line="500" w:lineRule="exact"/>
        <w:jc w:val="left"/>
        <w:rPr>
          <w:rFonts w:hint="eastAsia" w:ascii="仿宋" w:hAnsi="仿宋" w:eastAsia="仿宋"/>
          <w:b/>
          <w:sz w:val="32"/>
          <w:szCs w:val="32"/>
          <w:lang w:eastAsia="zh-CN"/>
        </w:rPr>
      </w:pPr>
    </w:p>
    <w:p>
      <w:pPr>
        <w:spacing w:line="500" w:lineRule="exact"/>
        <w:jc w:val="left"/>
        <w:rPr>
          <w:rFonts w:hint="eastAsia" w:ascii="仿宋" w:hAnsi="仿宋" w:eastAsia="仿宋"/>
          <w:b/>
          <w:sz w:val="32"/>
          <w:szCs w:val="32"/>
          <w:lang w:eastAsia="zh-CN"/>
        </w:rPr>
      </w:pPr>
      <w:bookmarkStart w:id="1" w:name="_GoBack"/>
      <w:bookmarkEnd w:id="1"/>
      <w:r>
        <w:rPr>
          <w:rFonts w:hint="eastAsia" w:ascii="仿宋" w:hAnsi="仿宋" w:eastAsia="仿宋"/>
          <w:b/>
          <w:sz w:val="32"/>
          <w:szCs w:val="32"/>
          <w:lang w:eastAsia="zh-CN"/>
        </w:rPr>
        <w:t>附件一：</w:t>
      </w:r>
    </w:p>
    <w:p>
      <w:pPr>
        <w:spacing w:line="500" w:lineRule="exact"/>
        <w:jc w:val="center"/>
        <w:rPr>
          <w:rFonts w:ascii="仿宋" w:hAnsi="仿宋" w:eastAsia="仿宋"/>
          <w:b/>
          <w:sz w:val="32"/>
          <w:szCs w:val="32"/>
        </w:rPr>
      </w:pPr>
      <w:r>
        <w:rPr>
          <w:rFonts w:hint="eastAsia" w:ascii="仿宋" w:hAnsi="仿宋" w:eastAsia="仿宋"/>
          <w:b/>
          <w:sz w:val="32"/>
          <w:szCs w:val="32"/>
        </w:rPr>
        <w:t>内江市第一人民医院</w:t>
      </w:r>
    </w:p>
    <w:p>
      <w:pPr>
        <w:spacing w:line="500" w:lineRule="exact"/>
        <w:jc w:val="center"/>
        <w:rPr>
          <w:rFonts w:ascii="仿宋" w:hAnsi="仿宋" w:eastAsia="仿宋"/>
          <w:b/>
          <w:sz w:val="32"/>
          <w:szCs w:val="32"/>
        </w:rPr>
      </w:pPr>
      <w:r>
        <w:rPr>
          <w:rFonts w:hint="eastAsia" w:ascii="仿宋" w:hAnsi="仿宋" w:eastAsia="仿宋"/>
          <w:b/>
          <w:sz w:val="32"/>
          <w:szCs w:val="32"/>
        </w:rPr>
        <w:t>新区</w:t>
      </w:r>
      <w:r>
        <w:rPr>
          <w:rFonts w:hint="eastAsia" w:ascii="仿宋" w:hAnsi="仿宋" w:eastAsia="仿宋"/>
          <w:b/>
          <w:sz w:val="32"/>
          <w:szCs w:val="32"/>
          <w:lang w:val="en-US" w:eastAsia="zh-CN"/>
        </w:rPr>
        <w:t>32部</w:t>
      </w:r>
      <w:r>
        <w:rPr>
          <w:rFonts w:hint="eastAsia" w:ascii="仿宋" w:hAnsi="仿宋" w:eastAsia="仿宋"/>
          <w:b/>
          <w:sz w:val="32"/>
          <w:szCs w:val="32"/>
        </w:rPr>
        <w:t>电梯年度维保</w:t>
      </w:r>
      <w:r>
        <w:rPr>
          <w:rFonts w:hint="eastAsia" w:ascii="仿宋" w:hAnsi="仿宋" w:eastAsia="仿宋"/>
          <w:b/>
          <w:sz w:val="32"/>
          <w:szCs w:val="32"/>
          <w:lang w:val="en-US" w:eastAsia="zh-CN"/>
        </w:rPr>
        <w:t>保养</w:t>
      </w:r>
      <w:r>
        <w:rPr>
          <w:rFonts w:hint="eastAsia" w:ascii="仿宋" w:hAnsi="仿宋" w:eastAsia="仿宋"/>
          <w:b/>
          <w:sz w:val="32"/>
          <w:szCs w:val="32"/>
        </w:rPr>
        <w:t>服务竞选评分细则</w:t>
      </w:r>
    </w:p>
    <w:p>
      <w:pPr>
        <w:spacing w:line="500" w:lineRule="exact"/>
        <w:jc w:val="center"/>
        <w:rPr>
          <w:rFonts w:ascii="仿宋" w:hAnsi="仿宋" w:eastAsia="仿宋"/>
          <w:b/>
          <w:sz w:val="32"/>
          <w:szCs w:val="32"/>
        </w:rPr>
      </w:pPr>
    </w:p>
    <w:tbl>
      <w:tblPr>
        <w:tblStyle w:val="7"/>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709" w:type="dxa"/>
            <w:vAlign w:val="center"/>
          </w:tcPr>
          <w:p>
            <w:pPr>
              <w:spacing w:line="240" w:lineRule="auto"/>
              <w:jc w:val="center"/>
              <w:rPr>
                <w:rFonts w:ascii="仿宋" w:hAnsi="仿宋" w:eastAsia="仿宋"/>
                <w:b/>
                <w:sz w:val="24"/>
                <w:szCs w:val="24"/>
              </w:rPr>
            </w:pPr>
            <w:r>
              <w:rPr>
                <w:rFonts w:hint="eastAsia" w:ascii="仿宋" w:hAnsi="仿宋" w:eastAsia="仿宋"/>
                <w:b/>
                <w:sz w:val="24"/>
                <w:szCs w:val="24"/>
              </w:rPr>
              <w:t>序号</w:t>
            </w:r>
          </w:p>
        </w:tc>
        <w:tc>
          <w:tcPr>
            <w:tcW w:w="1134" w:type="dxa"/>
            <w:vAlign w:val="center"/>
          </w:tcPr>
          <w:p>
            <w:pPr>
              <w:spacing w:line="240" w:lineRule="auto"/>
              <w:jc w:val="center"/>
              <w:rPr>
                <w:rFonts w:ascii="仿宋" w:hAnsi="仿宋" w:eastAsia="仿宋"/>
                <w:b/>
                <w:sz w:val="24"/>
                <w:szCs w:val="24"/>
              </w:rPr>
            </w:pPr>
            <w:r>
              <w:rPr>
                <w:rFonts w:hint="eastAsia" w:ascii="仿宋" w:hAnsi="仿宋" w:eastAsia="仿宋"/>
                <w:b/>
                <w:sz w:val="24"/>
                <w:szCs w:val="24"/>
              </w:rPr>
              <w:t>评分</w:t>
            </w:r>
          </w:p>
          <w:p>
            <w:pPr>
              <w:spacing w:line="240" w:lineRule="auto"/>
              <w:jc w:val="center"/>
              <w:rPr>
                <w:rFonts w:ascii="仿宋" w:hAnsi="仿宋" w:eastAsia="仿宋"/>
                <w:b/>
                <w:sz w:val="24"/>
                <w:szCs w:val="24"/>
              </w:rPr>
            </w:pPr>
            <w:r>
              <w:rPr>
                <w:rFonts w:hint="eastAsia" w:ascii="仿宋" w:hAnsi="仿宋" w:eastAsia="仿宋"/>
                <w:b/>
                <w:sz w:val="24"/>
                <w:szCs w:val="24"/>
              </w:rPr>
              <w:t>项目</w:t>
            </w:r>
          </w:p>
        </w:tc>
        <w:tc>
          <w:tcPr>
            <w:tcW w:w="851" w:type="dxa"/>
            <w:vAlign w:val="center"/>
          </w:tcPr>
          <w:p>
            <w:pPr>
              <w:spacing w:line="240" w:lineRule="auto"/>
              <w:jc w:val="center"/>
              <w:rPr>
                <w:rFonts w:ascii="仿宋" w:hAnsi="仿宋" w:eastAsia="仿宋"/>
                <w:b/>
                <w:sz w:val="24"/>
                <w:szCs w:val="24"/>
              </w:rPr>
            </w:pPr>
            <w:r>
              <w:rPr>
                <w:rFonts w:hint="eastAsia" w:ascii="仿宋" w:hAnsi="仿宋" w:eastAsia="仿宋"/>
                <w:b/>
                <w:sz w:val="24"/>
                <w:szCs w:val="24"/>
              </w:rPr>
              <w:t>单项分值</w:t>
            </w:r>
          </w:p>
        </w:tc>
        <w:tc>
          <w:tcPr>
            <w:tcW w:w="6662" w:type="dxa"/>
            <w:vAlign w:val="center"/>
          </w:tcPr>
          <w:p>
            <w:pPr>
              <w:spacing w:line="240" w:lineRule="auto"/>
              <w:jc w:val="center"/>
              <w:rPr>
                <w:rFonts w:ascii="仿宋" w:hAnsi="仿宋" w:eastAsia="仿宋"/>
                <w:b/>
                <w:sz w:val="24"/>
                <w:szCs w:val="24"/>
              </w:rPr>
            </w:pPr>
            <w:r>
              <w:rPr>
                <w:rFonts w:hint="eastAsia" w:ascii="仿宋" w:hAnsi="仿宋" w:eastAsia="仿宋"/>
                <w:b/>
                <w:sz w:val="24"/>
                <w:szCs w:val="24"/>
              </w:rPr>
              <w:t>评分内容</w:t>
            </w:r>
          </w:p>
        </w:tc>
        <w:tc>
          <w:tcPr>
            <w:tcW w:w="1559" w:type="dxa"/>
            <w:vAlign w:val="center"/>
          </w:tcPr>
          <w:p>
            <w:pPr>
              <w:spacing w:line="240" w:lineRule="auto"/>
              <w:ind w:firstLine="241" w:firstLineChars="100"/>
              <w:rPr>
                <w:rFonts w:ascii="仿宋" w:hAnsi="仿宋" w:eastAsia="仿宋"/>
                <w:b/>
                <w:sz w:val="24"/>
                <w:szCs w:val="24"/>
              </w:rPr>
            </w:pPr>
            <w:r>
              <w:rPr>
                <w:rFonts w:hint="eastAsia" w:ascii="仿宋" w:hAnsi="仿宋" w:eastAsia="仿宋"/>
                <w:b/>
                <w:sz w:val="24"/>
                <w:szCs w:val="24"/>
              </w:rPr>
              <w:t>评审因素</w:t>
            </w:r>
          </w:p>
          <w:p>
            <w:pPr>
              <w:spacing w:line="240" w:lineRule="auto"/>
              <w:jc w:val="center"/>
              <w:rPr>
                <w:rFonts w:ascii="仿宋" w:hAnsi="仿宋" w:eastAsia="仿宋"/>
                <w:b/>
                <w:sz w:val="24"/>
                <w:szCs w:val="24"/>
              </w:rPr>
            </w:pPr>
            <w:r>
              <w:rPr>
                <w:rFonts w:hint="eastAsia" w:ascii="仿宋" w:hAnsi="仿宋" w:eastAsia="仿宋"/>
                <w:b/>
                <w:sz w:val="24"/>
                <w:szCs w:val="24"/>
              </w:rPr>
              <w:t>（单项得分）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1</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报价</w:t>
            </w:r>
          </w:p>
          <w:p>
            <w:pPr>
              <w:spacing w:line="500" w:lineRule="exact"/>
              <w:jc w:val="center"/>
              <w:rPr>
                <w:rFonts w:ascii="仿宋" w:hAnsi="仿宋" w:eastAsia="仿宋"/>
                <w:sz w:val="24"/>
                <w:szCs w:val="24"/>
              </w:rPr>
            </w:pPr>
            <w:r>
              <w:rPr>
                <w:rFonts w:hint="default" w:ascii="仿宋" w:hAnsi="仿宋" w:eastAsia="仿宋"/>
                <w:sz w:val="24"/>
                <w:szCs w:val="24"/>
                <w:lang w:val="en-US"/>
              </w:rPr>
              <w:t>3</w:t>
            </w:r>
            <w:r>
              <w:rPr>
                <w:rFonts w:hint="eastAsia" w:ascii="仿宋" w:hAnsi="仿宋" w:eastAsia="仿宋"/>
                <w:sz w:val="24"/>
                <w:szCs w:val="24"/>
              </w:rPr>
              <w:t>0%</w:t>
            </w:r>
          </w:p>
        </w:tc>
        <w:tc>
          <w:tcPr>
            <w:tcW w:w="851" w:type="dxa"/>
            <w:vAlign w:val="center"/>
          </w:tcPr>
          <w:p>
            <w:pPr>
              <w:spacing w:line="500" w:lineRule="exact"/>
              <w:jc w:val="center"/>
              <w:rPr>
                <w:rFonts w:ascii="仿宋" w:hAnsi="仿宋" w:eastAsia="仿宋"/>
                <w:sz w:val="24"/>
                <w:szCs w:val="24"/>
              </w:rPr>
            </w:pPr>
            <w:r>
              <w:rPr>
                <w:rFonts w:hint="default" w:ascii="仿宋" w:hAnsi="仿宋" w:eastAsia="仿宋"/>
                <w:sz w:val="24"/>
                <w:szCs w:val="24"/>
                <w:lang w:val="en-US"/>
              </w:rPr>
              <w:t>3</w:t>
            </w:r>
            <w:r>
              <w:rPr>
                <w:rFonts w:hint="eastAsia" w:ascii="仿宋" w:hAnsi="仿宋" w:eastAsia="仿宋"/>
                <w:sz w:val="24"/>
                <w:szCs w:val="24"/>
              </w:rPr>
              <w:t>0分</w:t>
            </w:r>
          </w:p>
        </w:tc>
        <w:tc>
          <w:tcPr>
            <w:tcW w:w="6662" w:type="dxa"/>
          </w:tcPr>
          <w:p>
            <w:pPr>
              <w:spacing w:line="240" w:lineRule="auto"/>
              <w:ind w:firstLine="480" w:firstLineChars="200"/>
              <w:jc w:val="left"/>
              <w:rPr>
                <w:rFonts w:ascii="仿宋" w:hAnsi="仿宋" w:eastAsia="仿宋"/>
                <w:sz w:val="24"/>
                <w:szCs w:val="24"/>
              </w:rPr>
            </w:pPr>
            <w:r>
              <w:rPr>
                <w:rFonts w:hint="eastAsia" w:ascii="仿宋" w:hAnsi="仿宋" w:eastAsia="仿宋"/>
                <w:sz w:val="24"/>
                <w:szCs w:val="24"/>
              </w:rPr>
              <w:t>以满足竞选文件要求且竞选价格最低的竞选报价为基准价，竞选报价分值=（基准价÷竞选报价）×</w:t>
            </w:r>
            <w:r>
              <w:rPr>
                <w:rFonts w:hint="eastAsia" w:ascii="仿宋" w:hAnsi="仿宋" w:eastAsia="仿宋"/>
                <w:sz w:val="24"/>
                <w:szCs w:val="24"/>
                <w:lang w:val="en-US" w:eastAsia="zh-CN"/>
              </w:rPr>
              <w:t>3</w:t>
            </w:r>
            <w:r>
              <w:rPr>
                <w:rFonts w:hint="eastAsia" w:ascii="仿宋" w:hAnsi="仿宋" w:eastAsia="仿宋"/>
                <w:sz w:val="24"/>
                <w:szCs w:val="24"/>
              </w:rPr>
              <w:t>0%×100（保留两位小数）</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共同评审</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维保维护服务的实施方案30%</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30分</w:t>
            </w:r>
          </w:p>
        </w:tc>
        <w:tc>
          <w:tcPr>
            <w:tcW w:w="6662" w:type="dxa"/>
          </w:tcPr>
          <w:p>
            <w:pPr>
              <w:numPr>
                <w:ilvl w:val="0"/>
                <w:numId w:val="1"/>
              </w:numPr>
              <w:spacing w:line="240" w:lineRule="auto"/>
              <w:ind w:firstLine="480" w:firstLineChars="200"/>
              <w:jc w:val="left"/>
              <w:rPr>
                <w:rFonts w:hint="eastAsia" w:ascii="仿宋" w:hAnsi="仿宋" w:eastAsia="仿宋"/>
                <w:sz w:val="24"/>
                <w:szCs w:val="24"/>
              </w:rPr>
            </w:pPr>
            <w:r>
              <w:rPr>
                <w:rFonts w:hint="eastAsia" w:ascii="仿宋" w:hAnsi="仿宋" w:eastAsia="仿宋"/>
                <w:sz w:val="24"/>
                <w:szCs w:val="24"/>
              </w:rPr>
              <w:t>维保服务人员岗位</w:t>
            </w:r>
            <w:r>
              <w:rPr>
                <w:rFonts w:hint="eastAsia" w:ascii="仿宋" w:hAnsi="仿宋" w:eastAsia="仿宋"/>
                <w:sz w:val="24"/>
                <w:szCs w:val="24"/>
                <w:lang w:eastAsia="zh-CN"/>
              </w:rPr>
              <w:t>及责任</w:t>
            </w:r>
            <w:r>
              <w:rPr>
                <w:rFonts w:hint="eastAsia" w:ascii="仿宋" w:hAnsi="仿宋" w:eastAsia="仿宋"/>
                <w:sz w:val="24"/>
                <w:szCs w:val="24"/>
              </w:rPr>
              <w:t>划分明确能高于竞选项目要求的得10分：能满足项目得8分；低于项目需求的得6分；不能满足项目需求的此项得0分。</w:t>
            </w:r>
            <w:r>
              <w:rPr>
                <w:rFonts w:hint="default" w:ascii="仿宋" w:hAnsi="仿宋" w:eastAsia="仿宋"/>
                <w:sz w:val="24"/>
                <w:szCs w:val="24"/>
                <w:lang w:val="en-US"/>
              </w:rPr>
              <w:t>(</w:t>
            </w:r>
            <w:r>
              <w:rPr>
                <w:rFonts w:hint="eastAsia" w:ascii="仿宋" w:hAnsi="仿宋" w:eastAsia="仿宋"/>
                <w:sz w:val="24"/>
                <w:szCs w:val="24"/>
                <w:lang w:val="en-US" w:eastAsia="zh-CN"/>
              </w:rPr>
              <w:t>对应</w:t>
            </w:r>
            <w:r>
              <w:rPr>
                <w:rFonts w:hint="default" w:ascii="仿宋" w:hAnsi="仿宋" w:eastAsia="仿宋"/>
                <w:sz w:val="24"/>
                <w:szCs w:val="24"/>
                <w:lang w:val="en-US"/>
              </w:rPr>
              <w:t>1.1-1.2)</w:t>
            </w:r>
          </w:p>
          <w:p>
            <w:pPr>
              <w:numPr>
                <w:ilvl w:val="0"/>
                <w:numId w:val="0"/>
              </w:numPr>
              <w:spacing w:line="240" w:lineRule="auto"/>
              <w:ind w:firstLine="480" w:firstLineChars="200"/>
              <w:jc w:val="left"/>
              <w:rPr>
                <w:rFonts w:hint="eastAsia" w:ascii="仿宋" w:hAnsi="仿宋" w:eastAsia="仿宋"/>
                <w:sz w:val="24"/>
                <w:szCs w:val="24"/>
                <w:lang w:val="en-US" w:eastAsia="zh-CN"/>
              </w:rPr>
            </w:pPr>
            <w:r>
              <w:rPr>
                <w:rFonts w:hint="eastAsia" w:ascii="仿宋" w:hAnsi="仿宋" w:eastAsia="仿宋"/>
                <w:sz w:val="24"/>
                <w:szCs w:val="24"/>
              </w:rPr>
              <w:t>2、实施方案中的质量保证方案高于项目需求的得10分：满足需求的得8分；低于项目需求的得6分；不能满足项目需求的此项得0分。</w:t>
            </w:r>
            <w:r>
              <w:rPr>
                <w:rFonts w:hint="default" w:ascii="仿宋" w:hAnsi="仿宋" w:eastAsia="仿宋"/>
                <w:sz w:val="24"/>
                <w:szCs w:val="24"/>
                <w:lang w:val="en-US"/>
              </w:rPr>
              <w:t>(</w:t>
            </w:r>
            <w:r>
              <w:rPr>
                <w:rFonts w:hint="eastAsia" w:ascii="仿宋" w:hAnsi="仿宋" w:eastAsia="仿宋"/>
                <w:sz w:val="24"/>
                <w:szCs w:val="24"/>
                <w:lang w:val="en-US" w:eastAsia="zh-CN"/>
              </w:rPr>
              <w:t>对应</w:t>
            </w:r>
            <w:r>
              <w:rPr>
                <w:rFonts w:hint="default" w:ascii="仿宋" w:hAnsi="仿宋" w:eastAsia="仿宋"/>
                <w:sz w:val="24"/>
                <w:szCs w:val="24"/>
                <w:lang w:val="en-US"/>
              </w:rPr>
              <w:t>2.</w:t>
            </w:r>
            <w:r>
              <w:rPr>
                <w:rFonts w:hint="eastAsia" w:ascii="仿宋" w:hAnsi="仿宋" w:eastAsia="仿宋"/>
                <w:sz w:val="24"/>
                <w:szCs w:val="24"/>
                <w:lang w:val="en-US" w:eastAsia="zh-CN"/>
              </w:rPr>
              <w:t>维保内容）</w:t>
            </w:r>
          </w:p>
          <w:p>
            <w:pPr>
              <w:spacing w:line="240" w:lineRule="auto"/>
              <w:ind w:firstLine="480" w:firstLineChars="200"/>
              <w:jc w:val="left"/>
              <w:rPr>
                <w:rFonts w:hint="default" w:ascii="仿宋" w:hAnsi="仿宋" w:eastAsia="仿宋"/>
                <w:sz w:val="24"/>
                <w:szCs w:val="24"/>
                <w:lang w:val="en-US" w:eastAsia="zh-CN"/>
              </w:rPr>
            </w:pPr>
            <w:r>
              <w:rPr>
                <w:rFonts w:hint="eastAsia" w:ascii="仿宋" w:hAnsi="仿宋" w:eastAsia="仿宋"/>
                <w:sz w:val="24"/>
                <w:szCs w:val="24"/>
              </w:rPr>
              <w:t>3、实施方案中有对用户的响应以及与用户的沟通和联系等内容能高于项目需求的得10分：满足项目的需求的得8分；低于项目需求的得6分；不能满足项目需求的得0分。</w:t>
            </w:r>
            <w:r>
              <w:rPr>
                <w:rFonts w:hint="eastAsia" w:ascii="仿宋" w:hAnsi="仿宋" w:eastAsia="仿宋"/>
                <w:sz w:val="24"/>
                <w:szCs w:val="24"/>
                <w:lang w:eastAsia="zh-CN"/>
              </w:rPr>
              <w:t>（对应</w:t>
            </w:r>
            <w:r>
              <w:rPr>
                <w:rFonts w:hint="eastAsia" w:ascii="仿宋" w:hAnsi="仿宋" w:eastAsia="仿宋"/>
                <w:sz w:val="24"/>
                <w:szCs w:val="24"/>
                <w:lang w:val="en-US" w:eastAsia="zh-CN"/>
              </w:rPr>
              <w:t>1.3）</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3</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服务2</w:t>
            </w:r>
            <w:r>
              <w:rPr>
                <w:rFonts w:hint="default" w:ascii="仿宋" w:hAnsi="仿宋" w:eastAsia="仿宋"/>
                <w:sz w:val="24"/>
                <w:szCs w:val="24"/>
                <w:lang w:val="en-US"/>
              </w:rPr>
              <w:t>0</w:t>
            </w:r>
            <w:r>
              <w:rPr>
                <w:rFonts w:hint="eastAsia" w:ascii="仿宋" w:hAnsi="仿宋" w:eastAsia="仿宋"/>
                <w:sz w:val="24"/>
                <w:szCs w:val="24"/>
              </w:rPr>
              <w:t>%</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w:t>
            </w:r>
            <w:r>
              <w:rPr>
                <w:rFonts w:hint="default" w:ascii="仿宋" w:hAnsi="仿宋" w:eastAsia="仿宋"/>
                <w:sz w:val="24"/>
                <w:szCs w:val="24"/>
                <w:lang w:val="en-US"/>
              </w:rPr>
              <w:t>0</w:t>
            </w:r>
            <w:r>
              <w:rPr>
                <w:rFonts w:hint="eastAsia" w:ascii="仿宋" w:hAnsi="仿宋" w:eastAsia="仿宋"/>
                <w:sz w:val="24"/>
                <w:szCs w:val="24"/>
              </w:rPr>
              <w:t>分</w:t>
            </w:r>
          </w:p>
        </w:tc>
        <w:tc>
          <w:tcPr>
            <w:tcW w:w="6662" w:type="dxa"/>
          </w:tcPr>
          <w:p>
            <w:pPr>
              <w:spacing w:line="240" w:lineRule="auto"/>
              <w:ind w:firstLine="480" w:firstLineChars="200"/>
              <w:jc w:val="left"/>
              <w:rPr>
                <w:rFonts w:hint="eastAsia" w:ascii="仿宋" w:hAnsi="仿宋" w:eastAsia="仿宋"/>
                <w:sz w:val="24"/>
                <w:szCs w:val="24"/>
              </w:rPr>
            </w:pPr>
            <w:r>
              <w:rPr>
                <w:rFonts w:hint="eastAsia" w:ascii="仿宋" w:hAnsi="仿宋" w:eastAsia="仿宋"/>
                <w:sz w:val="24"/>
                <w:szCs w:val="24"/>
              </w:rPr>
              <w:t>1、在项目</w:t>
            </w:r>
            <w:r>
              <w:rPr>
                <w:rFonts w:hint="eastAsia" w:ascii="仿宋" w:hAnsi="仿宋" w:eastAsia="仿宋"/>
                <w:sz w:val="24"/>
                <w:szCs w:val="24"/>
                <w:lang w:eastAsia="zh-CN"/>
              </w:rPr>
              <w:t>所在</w:t>
            </w:r>
            <w:r>
              <w:rPr>
                <w:rFonts w:hint="eastAsia" w:ascii="仿宋" w:hAnsi="仿宋" w:eastAsia="仿宋"/>
                <w:sz w:val="24"/>
                <w:szCs w:val="24"/>
              </w:rPr>
              <w:t>地</w:t>
            </w:r>
            <w:r>
              <w:rPr>
                <w:rFonts w:hint="eastAsia" w:ascii="仿宋" w:hAnsi="仿宋" w:eastAsia="仿宋"/>
                <w:sz w:val="24"/>
                <w:szCs w:val="24"/>
                <w:lang w:eastAsia="zh-CN"/>
              </w:rPr>
              <w:t>区</w:t>
            </w:r>
            <w:r>
              <w:rPr>
                <w:rFonts w:hint="eastAsia" w:ascii="仿宋" w:hAnsi="仿宋" w:eastAsia="仿宋"/>
                <w:sz w:val="24"/>
                <w:szCs w:val="24"/>
              </w:rPr>
              <w:t>设置</w:t>
            </w:r>
            <w:r>
              <w:rPr>
                <w:rFonts w:hint="eastAsia" w:ascii="仿宋" w:hAnsi="仿宋" w:eastAsia="仿宋"/>
                <w:sz w:val="24"/>
                <w:szCs w:val="24"/>
                <w:lang w:eastAsia="zh-CN"/>
              </w:rPr>
              <w:t>有</w:t>
            </w:r>
            <w:r>
              <w:rPr>
                <w:rFonts w:hint="eastAsia" w:ascii="仿宋" w:hAnsi="仿宋" w:eastAsia="仿宋"/>
                <w:sz w:val="24"/>
                <w:szCs w:val="24"/>
              </w:rPr>
              <w:t>固定维修办公点得5分：</w:t>
            </w:r>
            <w:r>
              <w:rPr>
                <w:rFonts w:hint="eastAsia" w:ascii="仿宋" w:hAnsi="仿宋" w:eastAsia="仿宋"/>
                <w:sz w:val="24"/>
                <w:szCs w:val="24"/>
                <w:lang w:eastAsia="zh-CN"/>
              </w:rPr>
              <w:t>只</w:t>
            </w:r>
            <w:r>
              <w:rPr>
                <w:rFonts w:hint="eastAsia" w:ascii="仿宋" w:hAnsi="仿宋" w:eastAsia="仿宋"/>
                <w:sz w:val="24"/>
                <w:szCs w:val="24"/>
              </w:rPr>
              <w:t>设有24小时固定服务电话2分;</w:t>
            </w:r>
            <w:r>
              <w:rPr>
                <w:rFonts w:hint="eastAsia" w:ascii="仿宋" w:hAnsi="仿宋" w:eastAsia="仿宋"/>
                <w:sz w:val="24"/>
                <w:szCs w:val="24"/>
                <w:lang w:eastAsia="zh-CN"/>
              </w:rPr>
              <w:t>只</w:t>
            </w:r>
            <w:r>
              <w:rPr>
                <w:rFonts w:hint="eastAsia" w:ascii="仿宋" w:hAnsi="仿宋" w:eastAsia="仿宋"/>
                <w:sz w:val="24"/>
                <w:szCs w:val="24"/>
              </w:rPr>
              <w:t>设有移动电话的应急响应服务电话2分；</w:t>
            </w:r>
            <w:r>
              <w:rPr>
                <w:rFonts w:hint="eastAsia" w:ascii="仿宋" w:hAnsi="仿宋" w:eastAsia="仿宋"/>
                <w:sz w:val="24"/>
                <w:szCs w:val="24"/>
                <w:lang w:eastAsia="zh-CN"/>
              </w:rPr>
              <w:t>只</w:t>
            </w:r>
            <w:r>
              <w:rPr>
                <w:rFonts w:hint="eastAsia" w:ascii="仿宋" w:hAnsi="仿宋" w:eastAsia="仿宋"/>
                <w:sz w:val="24"/>
                <w:szCs w:val="24"/>
              </w:rPr>
              <w:t>设有24小时服务投诉电话1分；此项最高5分。（本项目需提供相关证明材料）</w:t>
            </w:r>
          </w:p>
          <w:p>
            <w:pPr>
              <w:spacing w:line="240" w:lineRule="auto"/>
              <w:ind w:firstLine="480" w:firstLineChars="200"/>
              <w:jc w:val="left"/>
              <w:rPr>
                <w:rFonts w:ascii="仿宋" w:hAnsi="仿宋" w:eastAsia="仿宋"/>
                <w:sz w:val="24"/>
                <w:szCs w:val="24"/>
              </w:rPr>
            </w:pPr>
            <w:r>
              <w:rPr>
                <w:rFonts w:hint="eastAsia" w:ascii="仿宋" w:hAnsi="仿宋" w:eastAsia="仿宋"/>
                <w:sz w:val="24"/>
                <w:szCs w:val="24"/>
              </w:rPr>
              <w:t>2、人员配备10分：驻点维保人员配备优于竞选要求的得10分；符合竞选要求的得</w:t>
            </w:r>
            <w:r>
              <w:rPr>
                <w:rFonts w:hint="eastAsia" w:ascii="仿宋" w:hAnsi="仿宋" w:eastAsia="仿宋"/>
                <w:sz w:val="24"/>
                <w:szCs w:val="24"/>
                <w:lang w:val="en-US" w:eastAsia="zh-CN"/>
              </w:rPr>
              <w:t>6</w:t>
            </w:r>
            <w:r>
              <w:rPr>
                <w:rFonts w:hint="eastAsia" w:ascii="仿宋" w:hAnsi="仿宋" w:eastAsia="仿宋"/>
                <w:sz w:val="24"/>
                <w:szCs w:val="24"/>
              </w:rPr>
              <w:t>分；少于竞选要求的得0分；此项最高10分。</w:t>
            </w:r>
          </w:p>
          <w:p>
            <w:pPr>
              <w:spacing w:line="240" w:lineRule="auto"/>
              <w:ind w:firstLine="480" w:firstLineChars="200"/>
              <w:jc w:val="left"/>
              <w:rPr>
                <w:rFonts w:ascii="仿宋" w:hAnsi="仿宋" w:eastAsia="仿宋"/>
                <w:sz w:val="24"/>
                <w:szCs w:val="24"/>
              </w:rPr>
            </w:pPr>
            <w:r>
              <w:rPr>
                <w:rFonts w:hint="eastAsia" w:ascii="仿宋" w:hAnsi="仿宋" w:eastAsia="仿宋"/>
                <w:sz w:val="24"/>
                <w:szCs w:val="24"/>
              </w:rPr>
              <w:t>3、紧急服务响应时间优于竞选要求的得5分，符合竞选要求的得3分；不符的得0分；此项最高5分。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trPr>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4</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履约能力</w:t>
            </w:r>
            <w:r>
              <w:rPr>
                <w:rFonts w:hint="default" w:ascii="仿宋" w:hAnsi="仿宋" w:eastAsia="仿宋"/>
                <w:sz w:val="24"/>
                <w:szCs w:val="24"/>
                <w:lang w:val="en-US"/>
              </w:rPr>
              <w:t>6</w:t>
            </w:r>
            <w:r>
              <w:rPr>
                <w:rFonts w:hint="eastAsia" w:ascii="仿宋" w:hAnsi="仿宋" w:eastAsia="仿宋"/>
                <w:sz w:val="24"/>
                <w:szCs w:val="24"/>
              </w:rPr>
              <w:t>%</w:t>
            </w:r>
          </w:p>
        </w:tc>
        <w:tc>
          <w:tcPr>
            <w:tcW w:w="851" w:type="dxa"/>
            <w:vAlign w:val="center"/>
          </w:tcPr>
          <w:p>
            <w:pPr>
              <w:spacing w:line="500" w:lineRule="exact"/>
              <w:jc w:val="center"/>
              <w:rPr>
                <w:rFonts w:ascii="仿宋" w:hAnsi="仿宋" w:eastAsia="仿宋"/>
                <w:sz w:val="24"/>
                <w:szCs w:val="24"/>
              </w:rPr>
            </w:pPr>
            <w:r>
              <w:rPr>
                <w:rFonts w:hint="default" w:ascii="仿宋" w:hAnsi="仿宋" w:eastAsia="仿宋"/>
                <w:sz w:val="24"/>
                <w:szCs w:val="24"/>
                <w:lang w:val="en-US"/>
              </w:rPr>
              <w:t>6</w:t>
            </w:r>
            <w:r>
              <w:rPr>
                <w:rFonts w:hint="eastAsia" w:ascii="仿宋" w:hAnsi="仿宋" w:eastAsia="仿宋"/>
                <w:sz w:val="24"/>
                <w:szCs w:val="24"/>
              </w:rPr>
              <w:t>分</w:t>
            </w:r>
          </w:p>
        </w:tc>
        <w:tc>
          <w:tcPr>
            <w:tcW w:w="6662" w:type="dxa"/>
          </w:tcPr>
          <w:p>
            <w:pPr>
              <w:spacing w:line="240" w:lineRule="auto"/>
              <w:ind w:firstLine="480" w:firstLineChars="200"/>
              <w:jc w:val="left"/>
              <w:rPr>
                <w:rFonts w:hint="eastAsia" w:ascii="仿宋" w:hAnsi="仿宋" w:eastAsia="仿宋"/>
                <w:sz w:val="24"/>
                <w:szCs w:val="24"/>
              </w:rPr>
            </w:pPr>
            <w:r>
              <w:rPr>
                <w:rFonts w:hint="eastAsia" w:ascii="仿宋" w:hAnsi="仿宋" w:eastAsia="仿宋"/>
                <w:sz w:val="24"/>
                <w:szCs w:val="24"/>
              </w:rPr>
              <w:t>1、根据供应商提供类似公共场所的项目业绩（20</w:t>
            </w:r>
            <w:r>
              <w:rPr>
                <w:rFonts w:hint="eastAsia" w:ascii="仿宋" w:hAnsi="仿宋" w:eastAsia="仿宋"/>
                <w:sz w:val="24"/>
                <w:szCs w:val="24"/>
                <w:lang w:val="en-US" w:eastAsia="zh-CN"/>
              </w:rPr>
              <w:t>22</w:t>
            </w:r>
            <w:r>
              <w:rPr>
                <w:rFonts w:hint="eastAsia" w:ascii="仿宋" w:hAnsi="仿宋" w:eastAsia="仿宋"/>
                <w:sz w:val="24"/>
                <w:szCs w:val="24"/>
              </w:rPr>
              <w:t>至今）进行评定，每提供一个类似项目业绩得1分，最多得</w:t>
            </w:r>
            <w:r>
              <w:rPr>
                <w:rFonts w:hint="default" w:ascii="仿宋" w:hAnsi="仿宋" w:eastAsia="仿宋"/>
                <w:sz w:val="24"/>
                <w:szCs w:val="24"/>
                <w:lang w:val="en-US"/>
              </w:rPr>
              <w:t>6</w:t>
            </w:r>
            <w:r>
              <w:rPr>
                <w:rFonts w:hint="eastAsia" w:ascii="仿宋" w:hAnsi="仿宋" w:eastAsia="仿宋"/>
                <w:sz w:val="24"/>
                <w:szCs w:val="24"/>
              </w:rPr>
              <w:t>分；</w:t>
            </w:r>
          </w:p>
          <w:p>
            <w:pPr>
              <w:spacing w:line="240" w:lineRule="auto"/>
              <w:ind w:firstLine="480" w:firstLineChars="200"/>
              <w:jc w:val="left"/>
              <w:rPr>
                <w:rFonts w:hint="eastAsia" w:ascii="仿宋" w:hAnsi="仿宋" w:eastAsia="仿宋"/>
                <w:sz w:val="24"/>
                <w:szCs w:val="24"/>
              </w:rPr>
            </w:pPr>
            <w:r>
              <w:rPr>
                <w:rFonts w:hint="eastAsia" w:ascii="仿宋" w:hAnsi="仿宋" w:eastAsia="仿宋"/>
                <w:sz w:val="24"/>
                <w:szCs w:val="24"/>
              </w:rPr>
              <w:t>注：提供合同或者成交通知书复印件、证书复印件盖章</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共同评审</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5</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应急预案1</w:t>
            </w:r>
            <w:r>
              <w:rPr>
                <w:rFonts w:hint="default" w:ascii="仿宋" w:hAnsi="仿宋" w:eastAsia="仿宋"/>
                <w:sz w:val="24"/>
                <w:szCs w:val="24"/>
                <w:lang w:val="en-US"/>
              </w:rPr>
              <w:t>2</w:t>
            </w:r>
            <w:r>
              <w:rPr>
                <w:rFonts w:hint="eastAsia" w:ascii="仿宋" w:hAnsi="仿宋" w:eastAsia="仿宋"/>
                <w:sz w:val="24"/>
                <w:szCs w:val="24"/>
              </w:rPr>
              <w:t>%</w:t>
            </w:r>
          </w:p>
        </w:tc>
        <w:tc>
          <w:tcPr>
            <w:tcW w:w="851" w:type="dxa"/>
            <w:vAlign w:val="center"/>
          </w:tcPr>
          <w:p>
            <w:pPr>
              <w:spacing w:line="500" w:lineRule="exact"/>
              <w:jc w:val="center"/>
              <w:rPr>
                <w:rFonts w:ascii="仿宋" w:hAnsi="仿宋" w:eastAsia="仿宋"/>
                <w:sz w:val="24"/>
                <w:szCs w:val="24"/>
              </w:rPr>
            </w:pPr>
            <w:r>
              <w:rPr>
                <w:rFonts w:hint="default" w:ascii="仿宋" w:hAnsi="仿宋" w:eastAsia="仿宋"/>
                <w:sz w:val="24"/>
                <w:szCs w:val="24"/>
                <w:lang w:val="en-US"/>
              </w:rPr>
              <w:t>12</w:t>
            </w:r>
            <w:r>
              <w:rPr>
                <w:rFonts w:hint="eastAsia" w:ascii="仿宋" w:hAnsi="仿宋" w:eastAsia="仿宋"/>
                <w:sz w:val="24"/>
                <w:szCs w:val="24"/>
              </w:rPr>
              <w:t>分</w:t>
            </w:r>
          </w:p>
        </w:tc>
        <w:tc>
          <w:tcPr>
            <w:tcW w:w="6662" w:type="dxa"/>
          </w:tcPr>
          <w:p>
            <w:pPr>
              <w:spacing w:line="240" w:lineRule="auto"/>
              <w:ind w:firstLine="480" w:firstLineChars="200"/>
              <w:jc w:val="left"/>
              <w:rPr>
                <w:rFonts w:hint="eastAsia" w:ascii="仿宋" w:hAnsi="仿宋" w:eastAsia="仿宋"/>
                <w:sz w:val="24"/>
                <w:szCs w:val="24"/>
              </w:rPr>
            </w:pPr>
            <w:r>
              <w:rPr>
                <w:rFonts w:hint="eastAsia" w:ascii="仿宋" w:hAnsi="仿宋" w:eastAsia="仿宋"/>
                <w:sz w:val="24"/>
                <w:szCs w:val="24"/>
              </w:rPr>
              <w:t>针对竞选项目的应急保障需要，建立完善的应急服务预案，有明确的应急措施，困人后保证在竞选规定时间内到达现场施救，电梯故障及时处理问题，高于竞选项目实际需求得</w:t>
            </w:r>
            <w:r>
              <w:rPr>
                <w:rFonts w:hint="default" w:ascii="仿宋" w:hAnsi="仿宋" w:eastAsia="仿宋"/>
                <w:sz w:val="24"/>
                <w:szCs w:val="24"/>
                <w:lang w:val="en-US" w:eastAsia="zh-CN"/>
              </w:rPr>
              <w:t>12</w:t>
            </w:r>
            <w:r>
              <w:rPr>
                <w:rFonts w:hint="eastAsia" w:ascii="仿宋" w:hAnsi="仿宋" w:eastAsia="仿宋"/>
                <w:sz w:val="24"/>
                <w:szCs w:val="24"/>
              </w:rPr>
              <w:t>分；完全满足竞选项目实际需求得</w:t>
            </w:r>
            <w:r>
              <w:rPr>
                <w:rFonts w:hint="default" w:ascii="仿宋" w:hAnsi="仿宋" w:eastAsia="仿宋"/>
                <w:sz w:val="24"/>
                <w:szCs w:val="24"/>
                <w:lang w:val="en-US" w:eastAsia="zh-CN"/>
              </w:rPr>
              <w:t>10</w:t>
            </w:r>
            <w:r>
              <w:rPr>
                <w:rFonts w:hint="eastAsia" w:ascii="仿宋" w:hAnsi="仿宋" w:eastAsia="仿宋"/>
                <w:sz w:val="24"/>
                <w:szCs w:val="24"/>
              </w:rPr>
              <w:t>分；有一项细微偏差扣1分，直至该项分值扣完为止，没有应急预案不得分。此项最高</w:t>
            </w:r>
            <w:r>
              <w:rPr>
                <w:rFonts w:hint="eastAsia" w:ascii="仿宋" w:hAnsi="仿宋" w:eastAsia="仿宋"/>
                <w:sz w:val="24"/>
                <w:szCs w:val="24"/>
                <w:lang w:eastAsia="zh-CN"/>
              </w:rPr>
              <w:t>得</w:t>
            </w:r>
            <w:r>
              <w:rPr>
                <w:rFonts w:hint="default" w:ascii="仿宋" w:hAnsi="仿宋" w:eastAsia="仿宋"/>
                <w:sz w:val="24"/>
                <w:szCs w:val="24"/>
                <w:lang w:val="en-US" w:eastAsia="zh-CN"/>
              </w:rPr>
              <w:t>12</w:t>
            </w:r>
            <w:r>
              <w:rPr>
                <w:rFonts w:hint="eastAsia" w:ascii="仿宋" w:hAnsi="仿宋" w:eastAsia="仿宋"/>
                <w:sz w:val="24"/>
                <w:szCs w:val="24"/>
              </w:rPr>
              <w:t>分</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6</w:t>
            </w:r>
          </w:p>
        </w:tc>
        <w:tc>
          <w:tcPr>
            <w:tcW w:w="1134"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竞选文件制作规范2%</w:t>
            </w:r>
          </w:p>
        </w:tc>
        <w:tc>
          <w:tcPr>
            <w:tcW w:w="851"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2分</w:t>
            </w:r>
          </w:p>
        </w:tc>
        <w:tc>
          <w:tcPr>
            <w:tcW w:w="6662" w:type="dxa"/>
          </w:tcPr>
          <w:p>
            <w:pPr>
              <w:spacing w:line="500" w:lineRule="exact"/>
              <w:ind w:firstLine="480" w:firstLineChars="200"/>
              <w:jc w:val="left"/>
              <w:rPr>
                <w:rFonts w:ascii="仿宋" w:hAnsi="仿宋" w:eastAsia="仿宋"/>
                <w:sz w:val="24"/>
                <w:szCs w:val="24"/>
              </w:rPr>
            </w:pPr>
            <w:r>
              <w:rPr>
                <w:rFonts w:hint="eastAsia" w:ascii="仿宋" w:hAnsi="仿宋" w:eastAsia="仿宋"/>
                <w:sz w:val="24"/>
                <w:szCs w:val="24"/>
              </w:rPr>
              <w:t>竞选文件制作规范、编制完整、格式规范、内容清晰、装订整齐等没有细微偏差情形的得2分；有一项细微偏差扣0.5分，直至该项分值扣完为止。</w:t>
            </w:r>
          </w:p>
        </w:tc>
        <w:tc>
          <w:tcPr>
            <w:tcW w:w="1559" w:type="dxa"/>
            <w:vAlign w:val="center"/>
          </w:tcPr>
          <w:p>
            <w:pPr>
              <w:spacing w:line="500" w:lineRule="exact"/>
              <w:jc w:val="center"/>
              <w:rPr>
                <w:rFonts w:ascii="仿宋" w:hAnsi="仿宋" w:eastAsia="仿宋"/>
                <w:sz w:val="24"/>
                <w:szCs w:val="24"/>
              </w:rPr>
            </w:pPr>
            <w:r>
              <w:rPr>
                <w:rFonts w:hint="eastAsia" w:ascii="仿宋" w:hAnsi="仿宋" w:eastAsia="仿宋"/>
                <w:sz w:val="24"/>
                <w:szCs w:val="24"/>
              </w:rPr>
              <w:t>共同评分</w:t>
            </w:r>
          </w:p>
          <w:p>
            <w:pPr>
              <w:spacing w:line="500" w:lineRule="exact"/>
              <w:jc w:val="center"/>
              <w:rPr>
                <w:rFonts w:ascii="仿宋" w:hAnsi="仿宋" w:eastAsia="仿宋"/>
                <w:sz w:val="24"/>
                <w:szCs w:val="24"/>
              </w:rPr>
            </w:pPr>
            <w:r>
              <w:rPr>
                <w:rFonts w:hint="eastAsia" w:ascii="仿宋" w:hAnsi="仿宋" w:eastAsia="仿宋"/>
                <w:sz w:val="24"/>
                <w:szCs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gridSpan w:val="2"/>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备注</w:t>
            </w:r>
          </w:p>
        </w:tc>
        <w:tc>
          <w:tcPr>
            <w:tcW w:w="9072" w:type="dxa"/>
            <w:gridSpan w:val="3"/>
            <w:vAlign w:val="center"/>
          </w:tcPr>
          <w:p>
            <w:pPr>
              <w:spacing w:line="500" w:lineRule="exact"/>
              <w:jc w:val="center"/>
              <w:rPr>
                <w:rFonts w:ascii="仿宋" w:hAnsi="仿宋" w:eastAsia="仿宋"/>
                <w:b/>
                <w:sz w:val="24"/>
                <w:szCs w:val="24"/>
              </w:rPr>
            </w:pPr>
            <w:r>
              <w:rPr>
                <w:rFonts w:hint="eastAsia" w:ascii="仿宋" w:hAnsi="仿宋" w:eastAsia="仿宋"/>
                <w:b/>
                <w:sz w:val="24"/>
                <w:szCs w:val="24"/>
              </w:rPr>
              <w:t>评分的取值按四舍五入法，保留小数点后两位。</w:t>
            </w:r>
          </w:p>
        </w:tc>
      </w:tr>
    </w:tbl>
    <w:p>
      <w:pPr>
        <w:spacing w:line="500" w:lineRule="exact"/>
        <w:jc w:val="left"/>
        <w:rPr>
          <w:rFonts w:ascii="仿宋" w:hAnsi="仿宋" w:eastAsia="仿宋"/>
          <w:b/>
          <w:sz w:val="32"/>
          <w:szCs w:val="32"/>
        </w:rPr>
      </w:pPr>
    </w:p>
    <w:p>
      <w:pPr>
        <w:spacing w:line="500" w:lineRule="exact"/>
        <w:ind w:firstLine="640" w:firstLineChars="200"/>
        <w:rPr>
          <w:rFonts w:ascii="仿宋" w:hAnsi="仿宋" w:eastAsia="仿宋"/>
          <w:sz w:val="32"/>
          <w:szCs w:val="32"/>
        </w:rPr>
      </w:pPr>
    </w:p>
    <w:p/>
    <w:p/>
    <w:p/>
    <w:p>
      <w:pPr>
        <w:pStyle w:val="2"/>
      </w:pPr>
    </w:p>
    <w:p/>
    <w:p>
      <w:pPr>
        <w:pStyle w:val="2"/>
      </w:pPr>
    </w:p>
    <w:p/>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附件二：</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color w:val="000000"/>
          <w:kern w:val="0"/>
          <w:sz w:val="32"/>
          <w:szCs w:val="32"/>
        </w:rPr>
      </w:pPr>
      <w:bookmarkStart w:id="0" w:name="_Toc29471"/>
      <w:r>
        <w:rPr>
          <w:rFonts w:hint="eastAsia" w:ascii="仿宋_GB2312" w:hAnsi="仿宋_GB2312" w:eastAsia="仿宋_GB2312" w:cs="仿宋_GB2312"/>
          <w:b/>
          <w:bCs/>
          <w:color w:val="000000"/>
          <w:kern w:val="0"/>
          <w:sz w:val="32"/>
          <w:szCs w:val="32"/>
        </w:rPr>
        <w:t>供应商须知</w:t>
      </w:r>
      <w:bookmarkEnd w:id="0"/>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一、适用范围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    本竞选文件的最终解释权归内江市第一人民医院所有。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 xml:space="preserve">二、供应商的条件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kern w:val="0"/>
          <w:sz w:val="32"/>
          <w:szCs w:val="32"/>
        </w:rPr>
        <w:t>符合“</w:t>
      </w:r>
      <w:r>
        <w:rPr>
          <w:rFonts w:hint="eastAsia" w:ascii="仿宋_GB2312" w:hAnsi="仿宋_GB2312" w:eastAsia="仿宋_GB2312" w:cs="仿宋_GB2312"/>
          <w:color w:val="000000"/>
          <w:kern w:val="0"/>
          <w:sz w:val="32"/>
          <w:szCs w:val="32"/>
          <w:lang w:eastAsia="zh-CN"/>
        </w:rPr>
        <w:t>新区</w:t>
      </w:r>
      <w:r>
        <w:rPr>
          <w:rFonts w:hint="eastAsia" w:ascii="仿宋_GB2312" w:hAnsi="仿宋_GB2312" w:eastAsia="仿宋_GB2312" w:cs="仿宋_GB2312"/>
          <w:color w:val="000000"/>
          <w:kern w:val="0"/>
          <w:sz w:val="32"/>
          <w:szCs w:val="32"/>
          <w:lang w:val="en-US" w:eastAsia="zh-CN"/>
        </w:rPr>
        <w:t>32部电梯</w:t>
      </w:r>
      <w:r>
        <w:rPr>
          <w:rFonts w:hint="eastAsia" w:ascii="仿宋_GB2312" w:hAnsi="仿宋_GB2312" w:eastAsia="仿宋_GB2312" w:cs="仿宋_GB2312"/>
          <w:color w:val="000000"/>
          <w:kern w:val="0"/>
          <w:sz w:val="32"/>
          <w:szCs w:val="32"/>
        </w:rPr>
        <w:t>年度维</w:t>
      </w:r>
      <w:r>
        <w:rPr>
          <w:rFonts w:hint="eastAsia" w:ascii="仿宋_GB2312" w:hAnsi="仿宋_GB2312" w:eastAsia="仿宋_GB2312" w:cs="仿宋_GB2312"/>
          <w:color w:val="000000"/>
          <w:kern w:val="0"/>
          <w:sz w:val="32"/>
          <w:szCs w:val="32"/>
          <w:lang w:eastAsia="zh-CN"/>
        </w:rPr>
        <w:t>护</w:t>
      </w:r>
      <w:r>
        <w:rPr>
          <w:rFonts w:hint="eastAsia" w:ascii="仿宋_GB2312" w:hAnsi="仿宋_GB2312" w:eastAsia="仿宋_GB2312" w:cs="仿宋_GB2312"/>
          <w:color w:val="000000"/>
          <w:kern w:val="0"/>
          <w:sz w:val="32"/>
          <w:szCs w:val="32"/>
        </w:rPr>
        <w:t>保养</w:t>
      </w:r>
      <w:r>
        <w:rPr>
          <w:rFonts w:hint="eastAsia" w:ascii="仿宋_GB2312" w:hAnsi="仿宋_GB2312" w:eastAsia="仿宋_GB2312" w:cs="仿宋_GB2312"/>
          <w:color w:val="000000"/>
          <w:kern w:val="0"/>
          <w:sz w:val="32"/>
          <w:szCs w:val="32"/>
          <w:lang w:val="en-US" w:eastAsia="zh-CN"/>
        </w:rPr>
        <w:t>服务</w:t>
      </w:r>
      <w:r>
        <w:rPr>
          <w:rFonts w:hint="eastAsia" w:ascii="仿宋_GB2312" w:hAnsi="仿宋_GB2312" w:eastAsia="仿宋_GB2312" w:cs="仿宋_GB2312"/>
          <w:color w:val="000000"/>
          <w:kern w:val="0"/>
          <w:sz w:val="32"/>
          <w:szCs w:val="32"/>
        </w:rPr>
        <w:t>”第</w:t>
      </w:r>
      <w:r>
        <w:rPr>
          <w:rFonts w:hint="eastAsia" w:ascii="仿宋_GB2312" w:hAnsi="仿宋_GB2312" w:eastAsia="仿宋_GB2312" w:cs="仿宋_GB2312"/>
          <w:color w:val="000000"/>
          <w:kern w:val="0"/>
          <w:sz w:val="32"/>
          <w:szCs w:val="32"/>
          <w:lang w:eastAsia="zh-CN"/>
        </w:rPr>
        <w:t>二</w:t>
      </w:r>
      <w:r>
        <w:rPr>
          <w:rFonts w:hint="eastAsia" w:ascii="仿宋_GB2312" w:hAnsi="仿宋_GB2312" w:eastAsia="仿宋_GB2312" w:cs="仿宋_GB2312"/>
          <w:color w:val="000000"/>
          <w:kern w:val="0"/>
          <w:sz w:val="32"/>
          <w:szCs w:val="32"/>
        </w:rPr>
        <w:t xml:space="preserve">条规定的条件；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 xml:space="preserve">三、竞选费用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无论竞选采购的结果如何，供应商自行承担所有参加竞选活动有关的全部费用。</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 xml:space="preserve">四、响应文件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eastAsia="zh-CN"/>
        </w:rPr>
        <w:t>（一）</w:t>
      </w:r>
      <w:r>
        <w:rPr>
          <w:rFonts w:hint="eastAsia" w:ascii="仿宋_GB2312" w:hAnsi="仿宋_GB2312" w:eastAsia="仿宋_GB2312" w:cs="仿宋_GB2312"/>
          <w:b/>
          <w:bCs/>
          <w:color w:val="000000"/>
          <w:kern w:val="0"/>
          <w:sz w:val="32"/>
          <w:szCs w:val="32"/>
        </w:rPr>
        <w:t xml:space="preserve">响应文件提供的证明材料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1.响应文件的组成： </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1.1评分要素索引表；</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1.2报价单；</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1.3法定代表人授权委托书；</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1.4承诺函；</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1.5技术应答表及商务要求应答表；</w:t>
      </w:r>
    </w:p>
    <w:p>
      <w:pPr>
        <w:pStyle w:val="2"/>
        <w:keepNext w:val="0"/>
        <w:keepLines w:val="0"/>
        <w:pageBreakBefore w:val="0"/>
        <w:kinsoku/>
        <w:wordWrap/>
        <w:overflowPunct/>
        <w:topLinePunct w:val="0"/>
        <w:autoSpaceDE/>
        <w:autoSpaceDN/>
        <w:bidi w:val="0"/>
        <w:adjustRightInd/>
        <w:snapToGrid/>
        <w:spacing w:line="560" w:lineRule="exact"/>
        <w:ind w:left="420" w:firstLine="42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1.6实施及服务方案；</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1.7对应综合评分表具体要求提供能够提供的相关承诺或证明材料如未提供也不影响供应商响应文件的有效性）； </w:t>
      </w:r>
    </w:p>
    <w:p>
      <w:pPr>
        <w:pStyle w:val="2"/>
        <w:keepNext w:val="0"/>
        <w:keepLines w:val="0"/>
        <w:pageBreakBefore w:val="0"/>
        <w:kinsoku/>
        <w:wordWrap/>
        <w:overflowPunct/>
        <w:topLinePunct w:val="0"/>
        <w:autoSpaceDE/>
        <w:autoSpaceDN/>
        <w:bidi w:val="0"/>
        <w:adjustRightInd/>
        <w:snapToGrid/>
        <w:spacing w:line="560" w:lineRule="exact"/>
        <w:ind w:left="420" w:firstLine="42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1.8其他有利于采购人或者供应商认为需要提供的文件和资料（如未提供也不影响供应商响应文件的有效性）。</w:t>
      </w:r>
    </w:p>
    <w:p>
      <w:pPr>
        <w:ind w:firstLine="640" w:firstLineChars="200"/>
        <w:rPr>
          <w:rFonts w:hint="eastAsia" w:eastAsia="仿宋_GB2312"/>
          <w:lang w:val="en-US" w:eastAsia="zh-CN"/>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本项目不接受联合体参与竞选。</w:t>
      </w:r>
    </w:p>
    <w:p>
      <w:pPr>
        <w:keepNext w:val="0"/>
        <w:keepLines w:val="0"/>
        <w:pageBreakBefore w:val="0"/>
        <w:widowControl/>
        <w:kinsoku/>
        <w:wordWrap/>
        <w:overflowPunct/>
        <w:topLinePunct w:val="0"/>
        <w:autoSpaceDE/>
        <w:autoSpaceDN/>
        <w:bidi w:val="0"/>
        <w:adjustRightInd/>
        <w:snapToGrid/>
        <w:spacing w:line="560" w:lineRule="exact"/>
        <w:ind w:left="420"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注：1、响应文件所需提供的全部证明材料内容均须有效； </w:t>
      </w:r>
    </w:p>
    <w:p>
      <w:pPr>
        <w:keepNext w:val="0"/>
        <w:keepLines w:val="0"/>
        <w:pageBreakBefore w:val="0"/>
        <w:widowControl/>
        <w:kinsoku/>
        <w:wordWrap/>
        <w:overflowPunct/>
        <w:topLinePunct w:val="0"/>
        <w:autoSpaceDE/>
        <w:autoSpaceDN/>
        <w:bidi w:val="0"/>
        <w:adjustRightInd/>
        <w:snapToGrid/>
        <w:spacing w:line="560" w:lineRule="exact"/>
        <w:ind w:firstLine="960" w:firstLine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2、以上每页资料必须逐页加盖公司鲜章并加盖骑缝章。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b/>
          <w:bCs/>
          <w:color w:val="000000"/>
          <w:kern w:val="0"/>
          <w:sz w:val="32"/>
          <w:szCs w:val="32"/>
          <w:lang w:eastAsia="zh-CN"/>
        </w:rPr>
        <w:t>二</w:t>
      </w:r>
      <w:r>
        <w:rPr>
          <w:rFonts w:hint="eastAsia" w:ascii="仿宋_GB2312" w:hAnsi="仿宋_GB2312" w:eastAsia="仿宋_GB2312" w:cs="仿宋_GB2312"/>
          <w:b/>
          <w:bCs/>
          <w:color w:val="000000"/>
          <w:kern w:val="0"/>
          <w:sz w:val="32"/>
          <w:szCs w:val="32"/>
        </w:rPr>
        <w:t xml:space="preserve">）响应文件编制、签署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响应文件一式 3 份（其中正本 1 份、副本 2 份）,响应文件封面上标注“正本”、 “副本”字样，注明项目、项目名称和供应商名称。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供应商应在仔细阅读竞选方案内容的基础上编制针对本项目的响应文件。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若正本与副本内容出现差异时，则以正本为准；副本可用正本的复印件。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000000"/>
          <w:kern w:val="0"/>
          <w:sz w:val="32"/>
          <w:szCs w:val="32"/>
        </w:rPr>
        <w:t>响应文件正本必须使用不褪色、不变质的墨水书写或打印,并在规定签章处逐一签字和加盖公章，其响应单位加盖公章应为鲜章，签署、盖章和内容应完整、有效，</w:t>
      </w:r>
      <w:r>
        <w:rPr>
          <w:rFonts w:hint="eastAsia" w:ascii="仿宋_GB2312" w:hAnsi="仿宋_GB2312" w:eastAsia="仿宋_GB2312" w:cs="仿宋_GB2312"/>
          <w:b/>
          <w:bCs/>
          <w:color w:val="000000"/>
          <w:kern w:val="0"/>
          <w:sz w:val="32"/>
          <w:szCs w:val="32"/>
        </w:rPr>
        <w:t>未按要求加盖公章、骑缝章视为无效响应。</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响应文件应统一使用 A4 幅面纸印制，逐页编目编码以方便评审小组查阅。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b/>
          <w:bCs/>
          <w:color w:val="000000"/>
          <w:kern w:val="0"/>
          <w:sz w:val="32"/>
          <w:szCs w:val="32"/>
          <w:lang w:eastAsia="zh-CN"/>
        </w:rPr>
        <w:t>三</w:t>
      </w:r>
      <w:r>
        <w:rPr>
          <w:rFonts w:hint="eastAsia" w:ascii="仿宋_GB2312" w:hAnsi="仿宋_GB2312" w:eastAsia="仿宋_GB2312" w:cs="仿宋_GB2312"/>
          <w:b/>
          <w:bCs/>
          <w:color w:val="000000"/>
          <w:kern w:val="0"/>
          <w:sz w:val="32"/>
          <w:szCs w:val="32"/>
        </w:rPr>
        <w:t xml:space="preserve">）响应文件的密封和标注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供应商应将其响应文件用密封袋密封，并在封口处加盖单位公章；若不满足以上要求，将有可能拒收其响应文件。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在密封袋封面上注明项目名称、编号、供应商名称、及“响应文件”字样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ab/>
      </w:r>
      <w:r>
        <w:rPr>
          <w:rFonts w:hint="eastAsia" w:ascii="仿宋_GB2312" w:hAnsi="仿宋_GB2312" w:eastAsia="仿宋_GB2312" w:cs="仿宋_GB2312"/>
          <w:color w:val="000000"/>
          <w:kern w:val="0"/>
          <w:sz w:val="32"/>
          <w:szCs w:val="32"/>
        </w:rPr>
        <w:t xml:space="preserve">如果未按前款规定密封和标记，采购人对响应文件的误投或提前拆封不负责任。对由此造成提前开封的响应文件，采购人将予以拒绝，并退回供应商。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rPr>
        <w:t>（</w:t>
      </w:r>
      <w:r>
        <w:rPr>
          <w:rFonts w:hint="eastAsia" w:ascii="仿宋_GB2312" w:hAnsi="仿宋_GB2312" w:eastAsia="仿宋_GB2312" w:cs="仿宋_GB2312"/>
          <w:b/>
          <w:bCs/>
          <w:color w:val="000000"/>
          <w:kern w:val="0"/>
          <w:sz w:val="32"/>
          <w:szCs w:val="32"/>
          <w:lang w:eastAsia="zh-CN"/>
        </w:rPr>
        <w:t>四</w:t>
      </w:r>
      <w:r>
        <w:rPr>
          <w:rFonts w:hint="eastAsia" w:ascii="仿宋_GB2312" w:hAnsi="仿宋_GB2312" w:eastAsia="仿宋_GB2312" w:cs="仿宋_GB2312"/>
          <w:b/>
          <w:bCs/>
          <w:color w:val="000000"/>
          <w:kern w:val="0"/>
          <w:sz w:val="32"/>
          <w:szCs w:val="32"/>
        </w:rPr>
        <w:t xml:space="preserve">）响应文件的递交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根据竞选时间现场提交</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eastAsia="zh-CN"/>
        </w:rPr>
        <w:t>五、</w:t>
      </w:r>
      <w:r>
        <w:rPr>
          <w:rFonts w:hint="eastAsia" w:ascii="仿宋_GB2312" w:hAnsi="仿宋_GB2312" w:eastAsia="仿宋_GB2312" w:cs="仿宋_GB2312"/>
          <w:b/>
          <w:bCs/>
          <w:color w:val="000000"/>
          <w:kern w:val="0"/>
          <w:sz w:val="32"/>
          <w:szCs w:val="32"/>
        </w:rPr>
        <w:t xml:space="preserve">评审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1.本项目评审方法为：综合评分法。综合评分法是指响应文件满足竞选文件全部资格、技术要求且评分最高的供应商为中选候选人的评审方法；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2.内江市第一人民医院对未中选原因不作解释，且提交的所有响应文件均不退回。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eastAsia="zh-CN"/>
        </w:rPr>
        <w:t>六、</w:t>
      </w:r>
      <w:r>
        <w:rPr>
          <w:rFonts w:hint="eastAsia" w:ascii="仿宋_GB2312" w:hAnsi="仿宋_GB2312" w:eastAsia="仿宋_GB2312" w:cs="仿宋_GB2312"/>
          <w:b/>
          <w:bCs/>
          <w:color w:val="000000"/>
          <w:kern w:val="0"/>
          <w:sz w:val="32"/>
          <w:szCs w:val="32"/>
        </w:rPr>
        <w:t xml:space="preserve">评定程序 </w:t>
      </w:r>
    </w:p>
    <w:p>
      <w:pPr>
        <w:keepNext w:val="0"/>
        <w:keepLines w:val="0"/>
        <w:pageBreakBefore w:val="0"/>
        <w:widowControl/>
        <w:kinsoku/>
        <w:wordWrap/>
        <w:overflowPunct/>
        <w:topLinePunct w:val="0"/>
        <w:autoSpaceDE/>
        <w:autoSpaceDN/>
        <w:bidi w:val="0"/>
        <w:adjustRightInd/>
        <w:snapToGrid/>
        <w:spacing w:line="560" w:lineRule="exact"/>
        <w:ind w:firstLine="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 xml:space="preserve">1. 接收响应文件 </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2.评审小组对响应文件进行初步资格审查，初审不合格的按照无效响应文件处理，初审具体内容如下：</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2.1响应文件未按照响应文件编制要求编制；</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2.2响应文件中的资料未加盖供应商单位的公章；</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2.3响应文件中法定代表人、委托代理人未签字；</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2.4报价若高于最高限价；</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2.5本竞选文件</w:t>
      </w:r>
      <w:r>
        <w:rPr>
          <w:rFonts w:hint="eastAsia" w:ascii="仿宋_GB2312" w:hAnsi="仿宋_GB2312" w:eastAsia="仿宋_GB2312" w:cs="仿宋_GB2312"/>
          <w:b/>
          <w:bCs/>
          <w:color w:val="000000"/>
          <w:kern w:val="0"/>
          <w:sz w:val="32"/>
          <w:szCs w:val="32"/>
        </w:rPr>
        <w:t>第</w:t>
      </w:r>
      <w:r>
        <w:rPr>
          <w:rFonts w:hint="eastAsia" w:ascii="仿宋_GB2312" w:hAnsi="仿宋_GB2312" w:eastAsia="仿宋_GB2312" w:cs="仿宋_GB2312"/>
          <w:b/>
          <w:bCs/>
          <w:color w:val="000000"/>
          <w:kern w:val="0"/>
          <w:sz w:val="32"/>
          <w:szCs w:val="32"/>
          <w:lang w:eastAsia="zh-CN"/>
        </w:rPr>
        <w:t>二</w:t>
      </w:r>
      <w:r>
        <w:rPr>
          <w:rFonts w:hint="eastAsia" w:ascii="仿宋_GB2312" w:hAnsi="仿宋_GB2312" w:eastAsia="仿宋_GB2312" w:cs="仿宋_GB2312"/>
          <w:b/>
          <w:bCs/>
          <w:color w:val="000000"/>
          <w:kern w:val="0"/>
          <w:sz w:val="32"/>
          <w:szCs w:val="32"/>
        </w:rPr>
        <w:t>点</w:t>
      </w:r>
      <w:r>
        <w:rPr>
          <w:rFonts w:hint="eastAsia" w:ascii="仿宋_GB2312" w:hAnsi="仿宋_GB2312" w:eastAsia="仿宋_GB2312" w:cs="仿宋_GB2312"/>
          <w:b/>
          <w:bCs/>
          <w:color w:val="000000"/>
          <w:kern w:val="0"/>
          <w:sz w:val="32"/>
          <w:szCs w:val="32"/>
          <w:lang w:eastAsia="zh-CN"/>
        </w:rPr>
        <w:t>、第四点</w:t>
      </w:r>
      <w:r>
        <w:rPr>
          <w:rFonts w:hint="eastAsia" w:ascii="仿宋_GB2312" w:hAnsi="仿宋_GB2312" w:eastAsia="仿宋_GB2312" w:cs="仿宋_GB2312"/>
          <w:color w:val="000000"/>
          <w:kern w:val="0"/>
          <w:sz w:val="32"/>
          <w:szCs w:val="32"/>
        </w:rPr>
        <w:t>要求提供的资格要求证明材料。</w:t>
      </w:r>
    </w:p>
    <w:p>
      <w:pPr>
        <w:keepNext w:val="0"/>
        <w:keepLines w:val="0"/>
        <w:pageBreakBefore w:val="0"/>
        <w:tabs>
          <w:tab w:val="left" w:pos="1134"/>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针对通过初步审查的供应商，评审小组按照评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.内江市第一人民医院将向中选供应商发出中选通知及合同，中选供应商</w:t>
      </w:r>
      <w:r>
        <w:rPr>
          <w:rFonts w:hint="eastAsia" w:ascii="仿宋_GB2312" w:hAnsi="仿宋_GB2312" w:eastAsia="仿宋_GB2312" w:cs="仿宋_GB2312"/>
          <w:color w:val="000000"/>
          <w:kern w:val="0"/>
          <w:sz w:val="32"/>
          <w:szCs w:val="32"/>
          <w:lang w:eastAsia="zh-CN"/>
        </w:rPr>
        <w:t>在收到</w:t>
      </w:r>
      <w:r>
        <w:rPr>
          <w:rFonts w:hint="eastAsia" w:ascii="仿宋_GB2312" w:hAnsi="仿宋_GB2312" w:eastAsia="仿宋_GB2312" w:cs="仿宋_GB2312"/>
          <w:color w:val="000000"/>
          <w:kern w:val="0"/>
          <w:sz w:val="32"/>
          <w:szCs w:val="32"/>
        </w:rPr>
        <w:t>中选</w:t>
      </w:r>
      <w:r>
        <w:rPr>
          <w:rFonts w:hint="eastAsia" w:ascii="仿宋_GB2312" w:hAnsi="仿宋_GB2312" w:eastAsia="仿宋_GB2312" w:cs="仿宋_GB2312"/>
          <w:color w:val="000000"/>
          <w:kern w:val="0"/>
          <w:sz w:val="32"/>
          <w:szCs w:val="32"/>
          <w:lang w:eastAsia="zh-CN"/>
        </w:rPr>
        <w:t>通知</w:t>
      </w:r>
      <w:r>
        <w:rPr>
          <w:rFonts w:hint="eastAsia" w:ascii="仿宋_GB2312" w:hAnsi="仿宋_GB2312" w:eastAsia="仿宋_GB2312" w:cs="仿宋_GB2312"/>
          <w:color w:val="000000"/>
          <w:kern w:val="0"/>
          <w:sz w:val="32"/>
          <w:szCs w:val="32"/>
        </w:rPr>
        <w:t xml:space="preserve">后3日内，按照本竞选文件拟定合同并传至的邮箱：2059632530@qq.com。格式为：“中选供应商名称+项目名称合同”；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 供应商应当书面澄清、说明或者更正</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sectPr>
          <w:footerReference r:id="rId5" w:type="default"/>
          <w:pgSz w:w="11906" w:h="16838"/>
          <w:pgMar w:top="1440" w:right="1803" w:bottom="1440" w:left="1803" w:header="0" w:footer="567" w:gutter="0"/>
          <w:pgNumType w:start="1"/>
          <w:cols w:space="720" w:num="1"/>
          <w:docGrid w:linePitch="312" w:charSpace="0"/>
        </w:sectPr>
      </w:pP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在评审过程中，供应商响应文件实质性符合竞选文件要求的前提下，评审小组对响应文件中含义不明确、同类问题表述不一致或者有明显文字和计算错误的内容，应当以书面形式要求供应商作出必要的书面澄清、说明或者更正，并给予供应商必要的反馈时间。</w:t>
      </w:r>
    </w:p>
    <w:p>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i6WFNAAAAADAQAADwAAAAAAAAABACAAAAAiAAAAZHJzL2Rvd25y&#10;ZXYueG1sUEsBAhQAFAAAAAgAh07iQMoDFErNAQAAlwMAAA4AAAAAAAAAAQAgAAAAHwEAAGRycy9l&#10;Mm9Eb2MueG1sUEsFBgAAAAAGAAYAWQEAAF4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26A7C9"/>
    <w:multiLevelType w:val="singleLevel"/>
    <w:tmpl w:val="F926A7C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D31D50"/>
    <w:rsid w:val="00323B43"/>
    <w:rsid w:val="003D37D8"/>
    <w:rsid w:val="00426133"/>
    <w:rsid w:val="004358AB"/>
    <w:rsid w:val="008B7726"/>
    <w:rsid w:val="00D31D50"/>
    <w:rsid w:val="067F4033"/>
    <w:rsid w:val="17363CD3"/>
    <w:rsid w:val="1887462F"/>
    <w:rsid w:val="1D8D1F09"/>
    <w:rsid w:val="24ED090B"/>
    <w:rsid w:val="52FB7A88"/>
    <w:rsid w:val="57853F2A"/>
    <w:rsid w:val="5D2E6280"/>
    <w:rsid w:val="67D54BDF"/>
    <w:rsid w:val="6C6A66CE"/>
    <w:rsid w:val="70036E0D"/>
    <w:rsid w:val="7D183617"/>
    <w:rsid w:val="7D7F8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3">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4">
    <w:name w:val="annotation text"/>
    <w:basedOn w:val="1"/>
    <w:unhideWhenUsed/>
    <w:uiPriority w:val="99"/>
    <w:pPr>
      <w:jc w:val="left"/>
    </w:pPr>
  </w:style>
  <w:style w:type="paragraph" w:styleId="5">
    <w:name w:val="footer"/>
    <w:basedOn w:val="1"/>
    <w:unhideWhenUsed/>
    <w:qFormat/>
    <w:uiPriority w:val="0"/>
    <w:pPr>
      <w:tabs>
        <w:tab w:val="center" w:pos="4153"/>
        <w:tab w:val="right" w:pos="8306"/>
      </w:tabs>
      <w:snapToGrid w:val="0"/>
      <w:jc w:val="left"/>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List Paragraph"/>
    <w:basedOn w:val="1"/>
    <w:qFormat/>
    <w:uiPriority w:val="1"/>
    <w:pPr>
      <w:autoSpaceDE w:val="0"/>
      <w:autoSpaceDN w:val="0"/>
      <w:spacing w:before="81"/>
      <w:ind w:left="910" w:hanging="450"/>
      <w:jc w:val="left"/>
    </w:pPr>
    <w:rPr>
      <w:rFonts w:ascii="宋体" w:hAnsi="宋体" w:eastAsia="宋体" w:cs="宋体"/>
      <w:kern w:val="0"/>
      <w:sz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4681</Words>
  <Characters>4923</Characters>
  <Lines>1</Lines>
  <Paragraphs>1</Paragraphs>
  <TotalTime>22</TotalTime>
  <ScaleCrop>false</ScaleCrop>
  <LinksUpToDate>false</LinksUpToDate>
  <CharactersWithSpaces>5014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adminstrator</cp:lastModifiedBy>
  <cp:lastPrinted>2023-04-04T07:18:00Z</cp:lastPrinted>
  <dcterms:modified xsi:type="dcterms:W3CDTF">2023-04-14T03:17:23Z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C79B5A60F73F4878B640FA68FC1571E2_13</vt:lpwstr>
  </property>
</Properties>
</file>