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>关于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电生理电极导管采购项目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>的补充</w:t>
      </w: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</w:rPr>
        <w:t>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5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我院将于2023年4月27日开始的“电生理电极导管采购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项目”，商务要求增加以下一条：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★二、商务要求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0.★要求服务点需满足采购人需求，具体地点由采购人指定，每个点需满足病患治疗服务要求，后续如若需要增加点位，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由投标人和采购人协议商定。服务期间本项目涉及维修维护及更换配件费用由投标人负责，在合同续存期内投标人须能保证本项服务正常使用，同时做好服务点定期养护。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2023年4月26日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6035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2023-04-26T07:08:53Z</dcterms:created>
  <dc:creator>adminstrator</dc:creator>
  <cp:lastModifiedBy>adminstrator</cp:lastModifiedBy>
  <dcterms:modified xsi:type="dcterms:W3CDTF">2023-04-26T07:11:16Z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2C41DEB5529C4664993826AE34207440_12</vt:lpwstr>
  </property>
</Properties>
</file>