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" w:cs="Times New Roman"/>
        </w:rPr>
      </w:pPr>
      <w:r>
        <w:rPr>
          <w:rFonts w:hint="default" w:ascii="Times New Roman" w:hAnsi="Times New Roman" w:eastAsia="方正小标宋" w:cs="Times New Roman"/>
        </w:rPr>
        <w:t>内江市第一人民医院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/>
          <w:lang w:val="zh-CN"/>
        </w:rPr>
      </w:pPr>
      <w:r>
        <w:rPr>
          <w:rFonts w:hint="eastAsia" w:ascii="Times New Roman" w:hAnsi="Times New Roman" w:eastAsia="方正小标宋" w:cs="Times New Roman"/>
          <w:lang w:val="en-US" w:eastAsia="zh-CN"/>
        </w:rPr>
        <w:t>法律顾问服务采购项目（第二次）</w:t>
      </w:r>
      <w:r>
        <w:rPr>
          <w:rFonts w:hint="default" w:ascii="Times New Roman" w:hAnsi="Times New Roman" w:eastAsia="方正小标宋" w:cs="Times New Roman"/>
          <w:lang w:val="en-US" w:eastAsia="zh-CN"/>
        </w:rPr>
        <w:t>采购公告</w:t>
      </w:r>
    </w:p>
    <w:p>
      <w:pPr>
        <w:widowControl/>
        <w:numPr>
          <w:ilvl w:val="0"/>
          <w:numId w:val="1"/>
        </w:numPr>
        <w:adjustRightInd w:val="0"/>
        <w:spacing w:line="240" w:lineRule="auto"/>
        <w:ind w:left="0" w:leftChars="0" w:firstLine="0" w:firstLineChars="0"/>
        <w:jc w:val="left"/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  <w:t>概况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采购单位：内江市第一人民医院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采购项目名称：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法律顾问服务采购项目（第二次）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Hans"/>
        </w:rPr>
        <w:t>采购服务期限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Hans"/>
        </w:rPr>
        <w:t>：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两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Hans"/>
        </w:rPr>
        <w:t>年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Hans" w:bidi="ar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采购项目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最高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限价：人民币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14万元/年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，此限价包含日常法律事务服务、法律咨询、代理医院涉及的各类诉讼法律事务（包括诉讼、仲裁、执行等）、参与合法性审查、审查医院招投标文件、协助处理投诉纠纷、定期到医院坐班、定期组织法律培训等服务所需的全部费用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Hans" w:bidi="ar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中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Hans"/>
        </w:rPr>
        <w:t>选方式：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Hans"/>
        </w:rPr>
        <w:t>供应商在满足资格要求及商务要求的基础上，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eastAsia="zh-Hans" w:bidi="ar"/>
        </w:rPr>
        <w:t>采用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eastAsia="zh-CN" w:bidi="ar"/>
        </w:rPr>
        <w:t>综合评分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eastAsia="zh-Hans" w:bidi="ar"/>
        </w:rPr>
        <w:t>的竞选方式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（评分标准见附件：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法律顾问服务采购项目综合评分细则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）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eastAsia="zh-Hans" w:bidi="ar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采购项目内容：</w:t>
      </w:r>
    </w:p>
    <w:tbl>
      <w:tblPr>
        <w:tblStyle w:val="5"/>
        <w:tblW w:w="8295" w:type="dxa"/>
        <w:tblInd w:w="12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"/>
        <w:gridCol w:w="2355"/>
        <w:gridCol w:w="2505"/>
        <w:gridCol w:w="250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 号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   称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最高限价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供应商报价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法律顾问服务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14万元/年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7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73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 xml:space="preserve">  元（大写金额：                       ） </w:t>
            </w:r>
          </w:p>
          <w:p>
            <w:pPr>
              <w:pStyle w:val="2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Hans"/>
              </w:rPr>
              <w:t>备注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lang w:eastAsia="zh-Hans"/>
              </w:rPr>
              <w:t>：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eastAsia="zh-CN"/>
              </w:rPr>
              <w:t>此限价包含日常法律事务服务、法律咨询、代理医院涉及的各类诉讼法律事务（包括诉讼、仲裁、执行等）、参与合法性审查、审查医院招投标文件、协助处理投诉纠纷、定期到医院坐班、定期组织法律培训等服务所需的全部费用。</w:t>
            </w:r>
          </w:p>
        </w:tc>
      </w:tr>
    </w:tbl>
    <w:p>
      <w:pPr>
        <w:pStyle w:val="2"/>
        <w:ind w:left="0" w:leftChars="0" w:firstLine="640" w:firstLineChars="200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  <w:t>注：请按照此表格格式进行报价。</w:t>
      </w:r>
    </w:p>
    <w:p>
      <w:pPr>
        <w:pStyle w:val="2"/>
        <w:ind w:left="0" w:leftChars="0" w:firstLine="0" w:firstLineChars="0"/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Hans" w:bidi="ar-SA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Hans" w:bidi="ar-SA"/>
        </w:rPr>
        <w:t>二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eastAsia="zh-Hans" w:bidi="ar-SA"/>
        </w:rPr>
        <w:t>、</w:t>
      </w: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Hans" w:bidi="ar-SA"/>
        </w:rPr>
        <w:t>商务要求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845" w:leftChars="0" w:hanging="425" w:firstLineChars="0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法律顾问服务要求（实质性要求）：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1265" w:leftChars="0" w:hanging="425" w:firstLineChars="0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为我院日常工作中遇到的涉法事务提供法律咨询；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1265" w:leftChars="0" w:hanging="425" w:firstLineChars="0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参与我院内部规章制度、规范性文件、重大措施、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1265" w:leftChars="0" w:hanging="425" w:firstLineChars="0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重大决策的合法性审查，并提出审查意见；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1265" w:leftChars="0" w:hanging="425" w:firstLineChars="0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对我院拟定的招投标文件、合同等文件进行审查，并在我院要求的期限内提出具有操作性的法律风险防范意见和建议；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1265" w:leftChars="0" w:hanging="425" w:firstLineChars="0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按院方要求出席办公会、专题研讨会等有关会议，提出意见和建议；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1265" w:leftChars="0" w:hanging="425" w:firstLineChars="0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代理医院涉及的各类诉讼、行政复议、仲裁、执行等法律事务；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1265" w:leftChars="0" w:hanging="425" w:firstLineChars="0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协助处理劳动纠纷、投诉、信访等事件；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1265" w:leftChars="0" w:hanging="425" w:firstLineChars="0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按院方要求做好法律法规知识培训，全年组织法律培训不少于2次；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1265" w:leftChars="0" w:hanging="425" w:firstLineChars="0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每年就法律服务工作向院部进行1次全面总结，并形成书面报告；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1265" w:leftChars="0" w:hanging="425" w:firstLineChars="0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每周至少保证到我院坐班以一次，坐班人数应在2人以上；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1265" w:leftChars="0" w:hanging="425" w:firstLineChars="0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中标律师事务所组建一个5人以上的律师团队（需提供律师人员名单、身份证扫描件、律师证、本单位工作证明材料扫描件，并加盖律师事务所公章）作为我院律师顾问团队；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1265" w:leftChars="0" w:hanging="425" w:firstLineChars="0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办理院方交办或委托的其他法律事务；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1265" w:leftChars="0" w:hanging="425" w:firstLineChars="0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服务期间中标律师事务所出现未按医院要求完成相关法律服务工作（超过3次/年度）、法律服务出现重大事故等情况，医院有权无条件终止合同不再支付后期一切费用，并有权要求合理赔付。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845" w:leftChars="0" w:hanging="425" w:firstLineChars="0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-SA"/>
        </w:rPr>
        <w:t>服务时限要求：中标单位需按以下时限要求完成各类事务。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1265" w:leftChars="0" w:hanging="425" w:firstLineChars="0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对我院拟定的招投标文件、合同等文件进行审查，应在5个工作日以内出具审核意见；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1265" w:leftChars="0" w:hanging="425" w:firstLineChars="0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-SA"/>
        </w:rPr>
        <w:t>对于紧急、重大事项，应立即办理，若需开会讨论的，需在2小时内到场；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1265" w:leftChars="0" w:hanging="425" w:firstLineChars="0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-SA"/>
        </w:rPr>
        <w:t>出具律师函应在3个工作日以内；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1265" w:leftChars="0" w:hanging="425" w:firstLineChars="0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-SA"/>
        </w:rPr>
        <w:t>对于调查、取证困难的，按实际情况确定办结时限。</w:t>
      </w:r>
    </w:p>
    <w:p>
      <w:pPr>
        <w:spacing w:line="240" w:lineRule="auto"/>
        <w:ind w:left="0" w:leftChars="0" w:firstLine="0" w:firstLineChars="0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  <w:t>三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</w:rPr>
        <w:t>、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  <w:t>供应商资格要求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0" w:leftChars="0" w:firstLine="640" w:firstLineChars="200"/>
        <w:textAlignment w:val="auto"/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</w:rPr>
        <w:t>参加本次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采购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</w:rPr>
        <w:t>的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供应商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</w:rPr>
        <w:t>应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符合《中华人民共和国采购法》第二十二条规定的条件。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具有独立承担民事责任的能力；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具有良好的商业信誉和健全的财务会计制度；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具有履行合同所必需的设备和专业技术能力；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有依法缴纳税收和社会保障资金的良好记录；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参加政府采购活动前三年内，在经营活动中没有重大违法记录；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没有处于被责令停业，财产被接管、冻结，破产状态。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本招标项目不接受联合体投标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法律、行政法规规定的其他条件。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eastAsia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  <w:t>四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  <w:t>、文件要求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供应商报送的竞选资料、项目报价表须加盖公章。除项目报价表以外的资质文件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需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装订成册，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尽量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采用胶装方式，并加盖骑缝章，否则视为无效竞选。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竞选文件包括但不限于经办人委托书、经办人身份证复印件、营业执照等，须加盖竞选供应商鲜章。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供应商须提供服务承诺函。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所有竞选文件（包括报价单）必须密封并在封口处加盖骑缝章，不接受未按要求密封的竞选资料。竞选资料必须齐全，复印件须加盖竞选供应商鲜章。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五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报名方式及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响应文件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提交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报名方式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：网络报名。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报名截止时间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：2023年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6月12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日16：00（北京时间）。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b w:val="0"/>
          <w:bCs w:val="0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报名邮箱：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instrText xml:space="preserve"> HYPERLINK "mailto:njyyjss@163.com" </w:instrTex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njyyjss@163.com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（邮件名称“公司名称+项目名称报名表”，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报名表格式为word版和盖鲜章的PDF版）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响应文件提交方式：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开标当日现场提交。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响应文件提交截止时间：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2023年6月13日15:00时（北京时间）。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逾期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送达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或不符合采购文件相关规定的响应文件恕不接受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，此次采购不接受邮寄的响应文件。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b w:val="0"/>
          <w:bCs w:val="0"/>
        </w:rPr>
      </w:pPr>
      <w:r>
        <w:rPr>
          <w:rFonts w:hint="eastAsia" w:ascii="仿宋" w:hAnsi="仿宋" w:eastAsia="仿宋" w:cs="仿宋"/>
          <w:b/>
          <w:bCs/>
          <w:sz w:val="31"/>
          <w:szCs w:val="31"/>
        </w:rPr>
        <w:t>采购</w:t>
      </w: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时间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2023年6月13日15:00时（北京时间）。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采购地点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仿宋" w:hAnsi="仿宋" w:eastAsia="仿宋" w:cs="仿宋"/>
          <w:sz w:val="31"/>
          <w:szCs w:val="31"/>
        </w:rPr>
        <w:t>内江市第一人民医院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新区门诊三楼</w:t>
      </w:r>
      <w:r>
        <w:rPr>
          <w:rFonts w:hint="eastAsia" w:ascii="仿宋" w:hAnsi="仿宋" w:eastAsia="仿宋" w:cs="仿宋"/>
          <w:sz w:val="31"/>
          <w:szCs w:val="31"/>
        </w:rPr>
        <w:t>会议室。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  <w:t>、联系方式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通讯地址：内江市市中区汉安大道西段1866号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邮编：641001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组织部门：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总务</w:t>
      </w:r>
      <w:r>
        <w:rPr>
          <w:rFonts w:hint="default" w:ascii="Times New Roman" w:hAnsi="Times New Roman" w:eastAsia="仿宋" w:cs="Times New Roman"/>
          <w:sz w:val="32"/>
          <w:szCs w:val="32"/>
        </w:rPr>
        <w:t>科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联系人：谭老师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联系方式：0832-2037643，法定工作日内8：00~12：00/ 14：30~17：30（法定节假日除外）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监督部门：审计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科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联系方式：0832-2155638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邮箱：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仿宋" w:cs="Times New Roman"/>
          <w:sz w:val="32"/>
          <w:szCs w:val="32"/>
        </w:rPr>
        <w:instrText xml:space="preserve"> HYPERLINK "mailto:njyyjss@163.com" </w:instrTex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separate"/>
      </w:r>
      <w:r>
        <w:rPr>
          <w:rStyle w:val="7"/>
          <w:rFonts w:hint="default" w:ascii="Times New Roman" w:hAnsi="Times New Roman" w:eastAsia="仿宋" w:cs="Times New Roman"/>
          <w:sz w:val="32"/>
          <w:szCs w:val="32"/>
        </w:rPr>
        <w:t>njyyjss@163.com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end"/>
      </w:r>
    </w:p>
    <w:p>
      <w:pPr>
        <w:pStyle w:val="2"/>
        <w:ind w:firstLine="640"/>
        <w:jc w:val="right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 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                                  </w:t>
      </w:r>
    </w:p>
    <w:p>
      <w:pPr>
        <w:pStyle w:val="2"/>
        <w:wordWrap w:val="0"/>
        <w:ind w:firstLine="640"/>
        <w:jc w:val="right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内江市第一人民医院     </w:t>
      </w:r>
    </w:p>
    <w:p>
      <w:pPr>
        <w:pStyle w:val="2"/>
        <w:wordWrap w:val="0"/>
        <w:ind w:firstLine="640"/>
        <w:jc w:val="right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202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sz w:val="32"/>
          <w:szCs w:val="32"/>
        </w:rPr>
        <w:t>年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" w:cs="Times New Roman"/>
          <w:sz w:val="32"/>
          <w:szCs w:val="32"/>
        </w:rPr>
        <w:t>日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</w:t>
      </w:r>
    </w:p>
    <w:p>
      <w:pPr>
        <w:wordWrap/>
        <w:rPr>
          <w:rFonts w:hint="default"/>
          <w:lang w:val="en-US" w:eastAsia="zh-CN"/>
        </w:rPr>
      </w:pPr>
    </w:p>
    <w:p>
      <w:pPr>
        <w:ind w:left="0" w:leftChars="0" w:firstLine="0" w:firstLineChars="0"/>
        <w:jc w:val="both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附件：法律顾问服务采购项目综合评分细则</w:t>
      </w:r>
    </w:p>
    <w:p>
      <w:pPr>
        <w:rPr>
          <w:rFonts w:hint="eastAsia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br w:type="page"/>
      </w:r>
    </w:p>
    <w:p>
      <w:pPr>
        <w:spacing w:line="500" w:lineRule="exact"/>
        <w:ind w:left="0" w:leftChars="0" w:firstLine="0" w:firstLineChars="0"/>
        <w:jc w:val="both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：</w:t>
      </w:r>
    </w:p>
    <w:p>
      <w:pPr>
        <w:spacing w:line="240" w:lineRule="auto"/>
        <w:ind w:left="0" w:leftChars="0" w:firstLine="0" w:firstLineChars="0"/>
        <w:jc w:val="center"/>
        <w:rPr>
          <w:rFonts w:hint="eastAsia"/>
        </w:rPr>
      </w:pPr>
      <w:r>
        <w:rPr>
          <w:rFonts w:hint="eastAsia" w:ascii="仿宋" w:hAnsi="仿宋" w:eastAsia="仿宋"/>
          <w:b/>
          <w:sz w:val="40"/>
          <w:szCs w:val="40"/>
        </w:rPr>
        <w:t>法律顾问服务</w:t>
      </w:r>
      <w:r>
        <w:rPr>
          <w:rFonts w:hint="eastAsia" w:ascii="仿宋" w:hAnsi="仿宋" w:eastAsia="仿宋"/>
          <w:b/>
          <w:sz w:val="40"/>
          <w:szCs w:val="40"/>
          <w:lang w:eastAsia="zh-CN"/>
        </w:rPr>
        <w:t>采购项目综合</w:t>
      </w:r>
      <w:r>
        <w:rPr>
          <w:rFonts w:hint="eastAsia" w:ascii="仿宋" w:hAnsi="仿宋" w:eastAsia="仿宋"/>
          <w:b/>
          <w:sz w:val="40"/>
          <w:szCs w:val="40"/>
        </w:rPr>
        <w:t>评分细则</w:t>
      </w:r>
    </w:p>
    <w:tbl>
      <w:tblPr>
        <w:tblStyle w:val="5"/>
        <w:tblW w:w="9780" w:type="dxa"/>
        <w:tblInd w:w="-68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825"/>
        <w:gridCol w:w="756"/>
        <w:gridCol w:w="6864"/>
        <w:gridCol w:w="8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ind w:left="0" w:leftChars="0" w:firstLine="0" w:firstLineChars="0"/>
              <w:jc w:val="left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序号</w:t>
            </w:r>
          </w:p>
        </w:tc>
        <w:tc>
          <w:tcPr>
            <w:tcW w:w="825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ind w:left="0" w:leftChars="0" w:firstLine="0" w:firstLineChars="0"/>
              <w:jc w:val="left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评分</w:t>
            </w:r>
          </w:p>
          <w:p>
            <w:pPr>
              <w:spacing w:line="500" w:lineRule="exact"/>
              <w:ind w:left="0" w:leftChars="0" w:firstLine="0" w:firstLineChars="0"/>
              <w:jc w:val="left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项目</w:t>
            </w:r>
          </w:p>
        </w:tc>
        <w:tc>
          <w:tcPr>
            <w:tcW w:w="756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ind w:left="0" w:leftChars="0" w:firstLine="0" w:firstLineChars="0"/>
              <w:jc w:val="left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单项分值</w:t>
            </w:r>
          </w:p>
        </w:tc>
        <w:tc>
          <w:tcPr>
            <w:tcW w:w="6864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ind w:left="0" w:leftChars="0" w:firstLine="0" w:firstLineChars="0"/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评分内容</w:t>
            </w:r>
          </w:p>
        </w:tc>
        <w:tc>
          <w:tcPr>
            <w:tcW w:w="825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ind w:left="0" w:leftChars="0" w:firstLine="0" w:firstLineChars="0"/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510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ind w:left="0" w:leftChars="0" w:firstLine="0" w:firstLineChars="0"/>
              <w:jc w:val="center"/>
              <w:rPr>
                <w:rFonts w:hint="eastAsia" w:ascii="仿宋" w:hAnsi="仿宋" w:eastAsia="仿宋"/>
                <w:sz w:val="24"/>
                <w:szCs w:val="24"/>
                <w:lang w:eastAsia="zh-Hans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1</w:t>
            </w:r>
          </w:p>
        </w:tc>
        <w:tc>
          <w:tcPr>
            <w:tcW w:w="825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ind w:left="0" w:leftChars="0" w:firstLine="0" w:firstLineChars="0"/>
              <w:jc w:val="center"/>
              <w:rPr>
                <w:rFonts w:hint="eastAsia" w:ascii="仿宋" w:hAnsi="仿宋" w:eastAsia="仿宋"/>
                <w:sz w:val="24"/>
                <w:szCs w:val="24"/>
                <w:lang w:eastAsia="zh-Hans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价格</w:t>
            </w:r>
          </w:p>
        </w:tc>
        <w:tc>
          <w:tcPr>
            <w:tcW w:w="756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ind w:left="0" w:leftChars="0" w:firstLine="0" w:firstLineChars="0"/>
              <w:jc w:val="center"/>
              <w:rPr>
                <w:rFonts w:hint="eastAsia" w:ascii="仿宋" w:hAnsi="仿宋" w:eastAsia="仿宋"/>
                <w:sz w:val="24"/>
                <w:szCs w:val="24"/>
                <w:lang w:eastAsia="zh-Hans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10</w:t>
            </w:r>
          </w:p>
        </w:tc>
        <w:tc>
          <w:tcPr>
            <w:tcW w:w="686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/>
                <w:sz w:val="24"/>
                <w:szCs w:val="24"/>
                <w:lang w:eastAsia="zh-Hans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以满足采购公告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文件</w:t>
            </w: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要求且竞选价格最低的竞选报价为基准价，竞选报价分值=（基准价÷竞选报价）×10（保留两位小数）</w:t>
            </w:r>
          </w:p>
        </w:tc>
        <w:tc>
          <w:tcPr>
            <w:tcW w:w="825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7" w:hRule="atLeast"/>
        </w:trPr>
        <w:tc>
          <w:tcPr>
            <w:tcW w:w="510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ind w:left="0" w:leftChars="0" w:firstLine="0" w:firstLineChars="0"/>
              <w:jc w:val="center"/>
              <w:rPr>
                <w:rFonts w:hint="eastAsia" w:ascii="仿宋" w:hAnsi="仿宋" w:eastAsia="仿宋"/>
                <w:sz w:val="24"/>
                <w:szCs w:val="24"/>
                <w:lang w:eastAsia="zh-Hans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2</w:t>
            </w:r>
          </w:p>
        </w:tc>
        <w:tc>
          <w:tcPr>
            <w:tcW w:w="825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ind w:left="0" w:leftChars="0" w:firstLine="0" w:firstLineChars="0"/>
              <w:jc w:val="center"/>
              <w:rPr>
                <w:rFonts w:hint="eastAsia" w:ascii="仿宋" w:hAnsi="仿宋" w:eastAsia="仿宋"/>
                <w:sz w:val="24"/>
                <w:szCs w:val="24"/>
                <w:lang w:eastAsia="zh-Hans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法律顾问服务实施方案</w:t>
            </w:r>
          </w:p>
        </w:tc>
        <w:tc>
          <w:tcPr>
            <w:tcW w:w="756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ind w:left="0" w:leftChars="0" w:firstLine="0" w:firstLineChars="0"/>
              <w:jc w:val="center"/>
              <w:rPr>
                <w:rFonts w:hint="eastAsia" w:ascii="仿宋" w:hAnsi="仿宋" w:eastAsia="仿宋"/>
                <w:sz w:val="24"/>
                <w:szCs w:val="24"/>
                <w:lang w:eastAsia="zh-Hans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45分</w:t>
            </w:r>
          </w:p>
        </w:tc>
        <w:tc>
          <w:tcPr>
            <w:tcW w:w="6864" w:type="dxa"/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/>
                <w:sz w:val="24"/>
                <w:szCs w:val="24"/>
                <w:lang w:eastAsia="zh-Hans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1、项目总体方案及思路的可行性与业务实际结合度。优秀得15分；较好11分；一般6分；差0分。（最高分值15分）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/>
                <w:sz w:val="24"/>
                <w:szCs w:val="24"/>
                <w:lang w:eastAsia="zh-Hans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2、项目实施计划能结合本项目特点，对重要节点、薄弱环节的风险防空提出独立见解及建议。优秀得10分；较好8分；一般6分；差0分；（最高分值10分）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/>
                <w:sz w:val="24"/>
                <w:szCs w:val="24"/>
                <w:lang w:eastAsia="zh-Hans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3、有关口头咨询、书面咨询、文书审订、出具律师函和法律意见，律师出席会议、工作台帐及其他有关的服务方案。优秀得10分；较好8分；一般6分；差0分；（最高分值10分）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/>
                <w:sz w:val="24"/>
                <w:szCs w:val="24"/>
                <w:lang w:eastAsia="zh-Hans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4、服务保障体系、项目管理机制以及相关服务方案是否科学、可行。优秀得10分；较好8分；一般6分；差0分。（最高分值10分）</w:t>
            </w:r>
          </w:p>
        </w:tc>
        <w:tc>
          <w:tcPr>
            <w:tcW w:w="825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0" w:hRule="atLeast"/>
        </w:trPr>
        <w:tc>
          <w:tcPr>
            <w:tcW w:w="510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ind w:left="0" w:leftChars="0" w:firstLine="0" w:firstLineChars="0"/>
              <w:jc w:val="center"/>
              <w:rPr>
                <w:rFonts w:hint="eastAsia" w:ascii="仿宋" w:hAnsi="仿宋" w:eastAsia="仿宋"/>
                <w:sz w:val="24"/>
                <w:szCs w:val="24"/>
                <w:lang w:eastAsia="zh-Hans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3</w:t>
            </w:r>
          </w:p>
        </w:tc>
        <w:tc>
          <w:tcPr>
            <w:tcW w:w="825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ind w:left="0" w:leftChars="0" w:firstLine="0" w:firstLineChars="0"/>
              <w:jc w:val="center"/>
              <w:rPr>
                <w:rFonts w:hint="eastAsia" w:ascii="仿宋" w:hAnsi="仿宋" w:eastAsia="仿宋"/>
                <w:sz w:val="24"/>
                <w:szCs w:val="24"/>
                <w:lang w:eastAsia="zh-Hans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履约能力</w:t>
            </w:r>
          </w:p>
        </w:tc>
        <w:tc>
          <w:tcPr>
            <w:tcW w:w="756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ind w:left="0" w:leftChars="0" w:firstLine="0" w:firstLineChars="0"/>
              <w:jc w:val="center"/>
              <w:rPr>
                <w:rFonts w:hint="eastAsia" w:ascii="仿宋" w:hAnsi="仿宋" w:eastAsia="仿宋"/>
                <w:sz w:val="24"/>
                <w:szCs w:val="24"/>
                <w:lang w:eastAsia="zh-Hans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30分</w:t>
            </w:r>
          </w:p>
        </w:tc>
        <w:tc>
          <w:tcPr>
            <w:tcW w:w="6864" w:type="dxa"/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/>
                <w:sz w:val="24"/>
                <w:szCs w:val="24"/>
                <w:lang w:eastAsia="zh-Hans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1、提供类似项目业绩（20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至今）进行评定，每提供一个类似项目业绩得3分，最多得6分；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/>
                <w:sz w:val="24"/>
                <w:szCs w:val="24"/>
                <w:lang w:eastAsia="zh-Hans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2、为类似项目处理过法律事务的，每提供1个，得4分，最多得分24分。（附相关证明材料，如判决书、律师函、法律意见书等）注：提供合同或者成交通知书复印件、证书复印件盖章</w:t>
            </w:r>
          </w:p>
        </w:tc>
        <w:tc>
          <w:tcPr>
            <w:tcW w:w="825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0" w:hRule="atLeast"/>
        </w:trPr>
        <w:tc>
          <w:tcPr>
            <w:tcW w:w="510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ind w:left="0" w:leftChars="0" w:firstLine="0" w:firstLineChars="0"/>
              <w:jc w:val="center"/>
              <w:rPr>
                <w:rFonts w:hint="eastAsia" w:ascii="仿宋" w:hAnsi="仿宋" w:eastAsia="仿宋"/>
                <w:sz w:val="24"/>
                <w:szCs w:val="24"/>
                <w:lang w:eastAsia="zh-Hans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4</w:t>
            </w:r>
          </w:p>
        </w:tc>
        <w:tc>
          <w:tcPr>
            <w:tcW w:w="825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ind w:left="0" w:leftChars="0" w:firstLine="0" w:firstLineChars="0"/>
              <w:jc w:val="center"/>
              <w:rPr>
                <w:rFonts w:hint="eastAsia" w:ascii="仿宋" w:hAnsi="仿宋" w:eastAsia="仿宋"/>
                <w:sz w:val="24"/>
                <w:szCs w:val="24"/>
                <w:lang w:eastAsia="zh-Hans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响应服务</w:t>
            </w:r>
          </w:p>
        </w:tc>
        <w:tc>
          <w:tcPr>
            <w:tcW w:w="756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ind w:left="0" w:leftChars="0" w:firstLine="0" w:firstLineChars="0"/>
              <w:jc w:val="center"/>
              <w:rPr>
                <w:rFonts w:hint="eastAsia" w:ascii="仿宋" w:hAnsi="仿宋" w:eastAsia="仿宋"/>
                <w:sz w:val="24"/>
                <w:szCs w:val="24"/>
                <w:lang w:eastAsia="zh-Hans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13分</w:t>
            </w:r>
          </w:p>
        </w:tc>
        <w:tc>
          <w:tcPr>
            <w:tcW w:w="6864" w:type="dxa"/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/>
                <w:sz w:val="24"/>
                <w:szCs w:val="24"/>
                <w:lang w:eastAsia="zh-Hans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投标人在收到采购人通知或到达采购人指定的、与本项目法律服务相关的内江市任何地点并开展法律服务的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投标人超过2小时到达现场的，不得分；投标人2小时内到达现场的，得6分；投标人1小时内到达现场的，得10分；投标人30分钟内到达现场的，得13分。</w:t>
            </w:r>
          </w:p>
        </w:tc>
        <w:tc>
          <w:tcPr>
            <w:tcW w:w="825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3" w:hRule="atLeast"/>
        </w:trPr>
        <w:tc>
          <w:tcPr>
            <w:tcW w:w="510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ind w:left="0" w:leftChars="0" w:firstLine="0" w:firstLineChars="0"/>
              <w:jc w:val="center"/>
              <w:rPr>
                <w:rFonts w:hint="eastAsia" w:ascii="仿宋" w:hAnsi="仿宋" w:eastAsia="仿宋"/>
                <w:sz w:val="24"/>
                <w:szCs w:val="24"/>
                <w:lang w:eastAsia="zh-Hans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5</w:t>
            </w:r>
          </w:p>
        </w:tc>
        <w:tc>
          <w:tcPr>
            <w:tcW w:w="825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/>
                <w:sz w:val="24"/>
                <w:szCs w:val="24"/>
                <w:lang w:eastAsia="zh-Hans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竞选文件制作规范</w:t>
            </w:r>
          </w:p>
        </w:tc>
        <w:tc>
          <w:tcPr>
            <w:tcW w:w="756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ind w:left="0" w:leftChars="0" w:firstLine="0" w:firstLineChars="0"/>
              <w:jc w:val="center"/>
              <w:rPr>
                <w:rFonts w:hint="eastAsia" w:ascii="仿宋" w:hAnsi="仿宋" w:eastAsia="仿宋"/>
                <w:sz w:val="24"/>
                <w:szCs w:val="24"/>
                <w:lang w:eastAsia="zh-Hans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2分</w:t>
            </w:r>
          </w:p>
        </w:tc>
        <w:tc>
          <w:tcPr>
            <w:tcW w:w="6864" w:type="dxa"/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/>
                <w:sz w:val="24"/>
                <w:szCs w:val="24"/>
                <w:lang w:eastAsia="zh-Hans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竞选文件制作规范、编制完整、格式规范、内容清晰、装订整齐等没有细微偏差情形的得2分；有一项细微偏差扣0.5分，直至该项分值扣完为止。</w:t>
            </w:r>
          </w:p>
        </w:tc>
        <w:tc>
          <w:tcPr>
            <w:tcW w:w="825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5" w:type="dxa"/>
            <w:gridSpan w:val="2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Hans"/>
              </w:rPr>
              <w:t>备注</w:t>
            </w:r>
          </w:p>
        </w:tc>
        <w:tc>
          <w:tcPr>
            <w:tcW w:w="8445" w:type="dxa"/>
            <w:gridSpan w:val="3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left"/>
              <w:textAlignment w:val="auto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①评分的取值按四舍五入法，小数点后保留两位；②所有评分项证明材料均需加盖供应商公章，否则该项分值不予认定。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??????">
    <w:altName w:val="AMGD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5EB1F88"/>
    <w:multiLevelType w:val="singleLevel"/>
    <w:tmpl w:val="95EB1F88"/>
    <w:lvl w:ilvl="0" w:tentative="0">
      <w:start w:val="1"/>
      <w:numFmt w:val="decimal"/>
      <w:lvlText w:val="(%1)"/>
      <w:lvlJc w:val="left"/>
      <w:pPr>
        <w:tabs>
          <w:tab w:val="left" w:pos="840"/>
        </w:tabs>
        <w:ind w:left="1265" w:hanging="425"/>
      </w:pPr>
      <w:rPr>
        <w:rFonts w:hint="default"/>
      </w:rPr>
    </w:lvl>
  </w:abstractNum>
  <w:abstractNum w:abstractNumId="1">
    <w:nsid w:val="B0475312"/>
    <w:multiLevelType w:val="singleLevel"/>
    <w:tmpl w:val="B0475312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2">
    <w:nsid w:val="C87CC1B4"/>
    <w:multiLevelType w:val="singleLevel"/>
    <w:tmpl w:val="C87CC1B4"/>
    <w:lvl w:ilvl="0" w:tentative="0">
      <w:start w:val="1"/>
      <w:numFmt w:val="decimal"/>
      <w:lvlText w:val="(%1)"/>
      <w:lvlJc w:val="left"/>
      <w:pPr>
        <w:tabs>
          <w:tab w:val="left" w:pos="840"/>
        </w:tabs>
        <w:ind w:left="1265" w:hanging="425"/>
      </w:pPr>
      <w:rPr>
        <w:rFonts w:hint="default"/>
      </w:rPr>
    </w:lvl>
  </w:abstractNum>
  <w:abstractNum w:abstractNumId="3">
    <w:nsid w:val="CE06A75A"/>
    <w:multiLevelType w:val="singleLevel"/>
    <w:tmpl w:val="CE06A75A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4">
    <w:nsid w:val="E78B40B6"/>
    <w:multiLevelType w:val="singleLevel"/>
    <w:tmpl w:val="E78B40B6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  <w:b w:val="0"/>
        <w:bCs w:val="0"/>
      </w:rPr>
    </w:lvl>
  </w:abstractNum>
  <w:abstractNum w:abstractNumId="5">
    <w:nsid w:val="EC775471"/>
    <w:multiLevelType w:val="singleLevel"/>
    <w:tmpl w:val="EC77547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6">
    <w:nsid w:val="F1384306"/>
    <w:multiLevelType w:val="singleLevel"/>
    <w:tmpl w:val="F1384306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abstractNum w:abstractNumId="7">
    <w:nsid w:val="78B13E35"/>
    <w:multiLevelType w:val="singleLevel"/>
    <w:tmpl w:val="78B13E35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1Njg5N2E1OThiZmU3YWU5MTQ1Y2IzNWUxODYyZjIifQ=="/>
  </w:docVars>
  <w:rsids>
    <w:rsidRoot w:val="4D122A81"/>
    <w:rsid w:val="041C5291"/>
    <w:rsid w:val="108D72AB"/>
    <w:rsid w:val="17313CE6"/>
    <w:rsid w:val="33745697"/>
    <w:rsid w:val="40E90629"/>
    <w:rsid w:val="4C8A0E99"/>
    <w:rsid w:val="4D122A81"/>
    <w:rsid w:val="59F27912"/>
    <w:rsid w:val="62B03AA0"/>
    <w:rsid w:val="7E0551C6"/>
    <w:rsid w:val="7EF57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200" w:firstLineChars="200"/>
      <w:jc w:val="both"/>
    </w:pPr>
    <w:rPr>
      <w:rFonts w:ascii="??????" w:hAnsi="Courier New" w:eastAsia="Times New Roman" w:cs="Times New Roman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</w:style>
  <w:style w:type="paragraph" w:styleId="4">
    <w:name w:val="Body Text First Indent"/>
    <w:basedOn w:val="2"/>
    <w:unhideWhenUsed/>
    <w:qFormat/>
    <w:uiPriority w:val="99"/>
    <w:pPr>
      <w:spacing w:after="120" w:line="240" w:lineRule="auto"/>
      <w:ind w:firstLine="420" w:firstLineChars="100"/>
    </w:pPr>
    <w:rPr>
      <w:color w:val="auto"/>
    </w:r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2517</Words>
  <Characters>2639</Characters>
  <Lines>0</Lines>
  <Paragraphs>0</Paragraphs>
  <TotalTime>33</TotalTime>
  <ScaleCrop>false</ScaleCrop>
  <LinksUpToDate>false</LinksUpToDate>
  <CharactersWithSpaces>2728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2023-05-30T08:42:00Z</dcterms:created>
  <dc:creator></dc:creator>
  <cp:lastModifiedBy></cp:lastModifiedBy>
  <dcterms:modified xsi:type="dcterms:W3CDTF">2023-06-09T07:21:22Z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28E1F8B6E1F941D7A376D57E444C4157_13</vt:lpwstr>
  </property>
</Properties>
</file>