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黑体" w:hAnsi="黑体" w:eastAsia="黑体" w:cs="黑体"/>
          <w:b/>
          <w:bCs/>
          <w:kern w:val="0"/>
          <w:sz w:val="44"/>
          <w:szCs w:val="44"/>
          <w:lang w:eastAsia="zh-CN"/>
        </w:rPr>
      </w:pPr>
    </w:p>
    <w:p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  <w:lang w:eastAsia="zh-CN"/>
        </w:rPr>
        <w:t>比价遴选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药品配送承诺书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内江市第一人民医院：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比价遴选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的报价不高于挂网限价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（即联动参考价和本省最高参考价、临床急需省级参考价及红线价中最低者）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，且自第一次配送入库之日起半年内不涨价。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如中选后不能按时保量配送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32"/>
          <w:szCs w:val="32"/>
        </w:rPr>
        <w:t>，在今后1年内不参与贵院药品比价遴选活动。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提交的比价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3" w:firstLineChars="250"/>
        <w:jc w:val="lef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firstLine="800" w:firstLineChars="250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承诺企业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盖章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：</w:t>
      </w:r>
    </w:p>
    <w:p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1549B"/>
    <w:rsid w:val="58C1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2023-11-09T02:22:00Z</dcterms:created>
  <dc:creator>YL</dc:creator>
  <cp:lastModifiedBy>YL</cp:lastModifiedBy>
  <dcterms:modified xsi:type="dcterms:W3CDTF">2023-11-09T02:24:00Z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