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AAAECB">
      <w:pPr>
        <w:pStyle w:val="2"/>
        <w:keepNext/>
        <w:keepLines/>
        <w:pageBreakBefore w:val="0"/>
        <w:widowControl w:val="0"/>
        <w:kinsoku/>
        <w:wordWrap/>
        <w:overflowPunct/>
        <w:topLinePunct w:val="0"/>
        <w:autoSpaceDE/>
        <w:autoSpaceDN/>
        <w:bidi w:val="0"/>
        <w:adjustRightInd/>
        <w:snapToGrid/>
        <w:spacing w:before="0" w:after="0"/>
        <w:jc w:val="center"/>
        <w:textAlignment w:val="auto"/>
        <w:rPr>
          <w:rFonts w:hint="eastAsia" w:ascii="仿宋" w:hAnsi="仿宋" w:eastAsia="仿宋" w:cs="仿宋"/>
          <w:b/>
          <w:sz w:val="36"/>
          <w:szCs w:val="36"/>
        </w:rPr>
      </w:pPr>
      <w:bookmarkStart w:id="0" w:name="_Toc12904"/>
      <w:r>
        <w:rPr>
          <w:rFonts w:hint="eastAsia" w:ascii="仿宋" w:hAnsi="仿宋" w:eastAsia="仿宋" w:cs="仿宋"/>
          <w:b/>
          <w:sz w:val="36"/>
          <w:szCs w:val="36"/>
        </w:rPr>
        <w:t>第三章 技术、服务及其他要求</w:t>
      </w:r>
      <w:bookmarkEnd w:id="0"/>
    </w:p>
    <w:p w14:paraId="10DE65F6">
      <w:pPr>
        <w:pStyle w:val="14"/>
        <w:ind w:firstLine="480"/>
        <w:jc w:val="left"/>
        <w:rPr>
          <w:rFonts w:hint="eastAsia" w:ascii="仿宋" w:hAnsi="仿宋" w:eastAsia="仿宋" w:cs="仿宋"/>
          <w:b/>
          <w:bCs/>
          <w:sz w:val="21"/>
          <w:szCs w:val="21"/>
        </w:rPr>
      </w:pPr>
      <w:r>
        <w:rPr>
          <w:rFonts w:hint="eastAsia" w:ascii="仿宋" w:hAnsi="仿宋" w:eastAsia="仿宋" w:cs="仿宋"/>
          <w:b/>
          <w:bCs/>
          <w:sz w:val="21"/>
          <w:szCs w:val="21"/>
        </w:rPr>
        <w:t>（注：本章的技术、服务及其他要求中，带“★”的要求为实质性要求。</w:t>
      </w:r>
      <w:r>
        <w:rPr>
          <w:rFonts w:hint="eastAsia" w:ascii="仿宋" w:hAnsi="仿宋" w:eastAsia="仿宋" w:cs="仿宋"/>
          <w:b/>
          <w:bCs/>
          <w:sz w:val="21"/>
          <w:szCs w:val="21"/>
          <w:lang w:eastAsia="zh-CN"/>
        </w:rPr>
        <w:t>采购人</w:t>
      </w:r>
      <w:r>
        <w:rPr>
          <w:rFonts w:hint="eastAsia" w:ascii="仿宋" w:hAnsi="仿宋" w:eastAsia="仿宋" w:cs="仿宋"/>
          <w:b/>
          <w:bCs/>
          <w:sz w:val="21"/>
          <w:szCs w:val="21"/>
        </w:rPr>
        <w:t>、代理机构应当根据项目实际要求合理设定，并在第五章符合性审查中明确响应要求。）</w:t>
      </w:r>
    </w:p>
    <w:p w14:paraId="7A835572">
      <w:pPr>
        <w:pStyle w:val="14"/>
        <w:spacing w:line="360" w:lineRule="auto"/>
        <w:jc w:val="left"/>
        <w:outlineLvl w:val="2"/>
        <w:rPr>
          <w:rFonts w:hint="eastAsia" w:ascii="仿宋" w:hAnsi="仿宋" w:eastAsia="仿宋" w:cs="仿宋"/>
          <w:b/>
          <w:bCs/>
          <w:i w:val="0"/>
          <w:iCs w:val="0"/>
          <w:sz w:val="28"/>
          <w:szCs w:val="28"/>
        </w:rPr>
      </w:pPr>
      <w:r>
        <w:rPr>
          <w:rFonts w:hint="eastAsia" w:ascii="仿宋" w:hAnsi="仿宋" w:eastAsia="仿宋" w:cs="仿宋"/>
          <w:b/>
          <w:sz w:val="28"/>
          <w:szCs w:val="28"/>
          <w:lang w:eastAsia="zh-CN"/>
        </w:rPr>
        <w:t>★一、</w:t>
      </w:r>
      <w:r>
        <w:rPr>
          <w:rFonts w:hint="eastAsia" w:ascii="仿宋" w:hAnsi="仿宋" w:eastAsia="仿宋" w:cs="仿宋"/>
          <w:b/>
          <w:sz w:val="28"/>
          <w:szCs w:val="28"/>
          <w:lang w:val="en-US" w:eastAsia="zh-CN"/>
        </w:rPr>
        <w:t>标的情况</w:t>
      </w:r>
    </w:p>
    <w:p w14:paraId="39B06B54">
      <w:pPr>
        <w:pStyle w:val="14"/>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本项目提供的产品，必须为“四川省药品和医用耗材招采管理系统”中已挂网产品（不含正在挂网和备案的产品）。</w:t>
      </w:r>
    </w:p>
    <w:tbl>
      <w:tblPr>
        <w:tblStyle w:val="11"/>
        <w:tblpPr w:leftFromText="180" w:rightFromText="180" w:vertAnchor="text" w:horzAnchor="page" w:tblpX="1571" w:tblpY="310"/>
        <w:tblOverlap w:val="never"/>
        <w:tblW w:w="9464"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759"/>
        <w:gridCol w:w="2940"/>
        <w:gridCol w:w="1629"/>
        <w:gridCol w:w="1281"/>
        <w:gridCol w:w="1267"/>
        <w:gridCol w:w="1588"/>
      </w:tblGrid>
      <w:tr w14:paraId="4AB14CF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34" w:hRule="atLeast"/>
        </w:trPr>
        <w:tc>
          <w:tcPr>
            <w:tcW w:w="759" w:type="dxa"/>
            <w:shd w:val="clear" w:color="auto" w:fill="CFCECE" w:themeFill="background2" w:themeFillShade="E5"/>
            <w:vAlign w:val="center"/>
          </w:tcPr>
          <w:p w14:paraId="136138FF">
            <w:pPr>
              <w:pStyle w:val="14"/>
              <w:keepNext w:val="0"/>
              <w:keepLines w:val="0"/>
              <w:widowControl/>
              <w:suppressLineNumbers w:val="0"/>
              <w:spacing w:before="0" w:beforeAutospacing="0" w:after="0" w:afterAutospacing="0" w:line="360" w:lineRule="auto"/>
              <w:ind w:left="0" w:right="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序号</w:t>
            </w:r>
          </w:p>
        </w:tc>
        <w:tc>
          <w:tcPr>
            <w:tcW w:w="2940" w:type="dxa"/>
            <w:shd w:val="clear" w:color="auto" w:fill="CFCECE" w:themeFill="background2" w:themeFillShade="E5"/>
            <w:vAlign w:val="center"/>
          </w:tcPr>
          <w:p w14:paraId="14616096">
            <w:pPr>
              <w:pStyle w:val="14"/>
              <w:keepNext w:val="0"/>
              <w:keepLines w:val="0"/>
              <w:widowControl/>
              <w:suppressLineNumbers w:val="0"/>
              <w:spacing w:before="0" w:beforeAutospacing="0" w:after="0" w:afterAutospacing="0" w:line="360" w:lineRule="auto"/>
              <w:ind w:left="0" w:right="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标的名称</w:t>
            </w:r>
          </w:p>
        </w:tc>
        <w:tc>
          <w:tcPr>
            <w:tcW w:w="1629" w:type="dxa"/>
            <w:shd w:val="clear" w:color="auto" w:fill="CFCECE" w:themeFill="background2" w:themeFillShade="E5"/>
            <w:vAlign w:val="center"/>
          </w:tcPr>
          <w:p w14:paraId="60AD47BE">
            <w:pPr>
              <w:pStyle w:val="14"/>
              <w:keepNext w:val="0"/>
              <w:keepLines w:val="0"/>
              <w:widowControl/>
              <w:suppressLineNumbers w:val="0"/>
              <w:spacing w:before="0" w:beforeAutospacing="0" w:after="0" w:afterAutospacing="0" w:line="240" w:lineRule="auto"/>
              <w:ind w:left="0" w:right="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预算</w:t>
            </w:r>
            <w:r>
              <w:rPr>
                <w:rFonts w:hint="default" w:ascii="仿宋" w:hAnsi="仿宋" w:eastAsia="仿宋" w:cs="仿宋"/>
                <w:sz w:val="22"/>
                <w:szCs w:val="22"/>
                <w:lang w:val="en-US" w:eastAsia="zh-CN"/>
              </w:rPr>
              <w:t>单价</w:t>
            </w:r>
            <w:r>
              <w:rPr>
                <w:rFonts w:hint="eastAsia" w:ascii="仿宋" w:hAnsi="仿宋" w:eastAsia="仿宋" w:cs="仿宋"/>
                <w:sz w:val="22"/>
                <w:szCs w:val="22"/>
                <w:lang w:val="en-US" w:eastAsia="zh-CN"/>
              </w:rPr>
              <w:t>（</w:t>
            </w:r>
            <w:r>
              <w:rPr>
                <w:rFonts w:hint="default" w:ascii="仿宋" w:hAnsi="仿宋" w:eastAsia="仿宋" w:cs="仿宋"/>
                <w:sz w:val="22"/>
                <w:szCs w:val="22"/>
                <w:lang w:val="en-US" w:eastAsia="zh-CN"/>
              </w:rPr>
              <w:t>元</w:t>
            </w:r>
            <w:r>
              <w:rPr>
                <w:rFonts w:hint="eastAsia" w:ascii="仿宋" w:hAnsi="仿宋" w:eastAsia="仿宋" w:cs="仿宋"/>
                <w:sz w:val="22"/>
                <w:szCs w:val="22"/>
                <w:lang w:val="en-US" w:eastAsia="zh-CN"/>
              </w:rPr>
              <w:t>）</w:t>
            </w:r>
          </w:p>
        </w:tc>
        <w:tc>
          <w:tcPr>
            <w:tcW w:w="1281" w:type="dxa"/>
            <w:shd w:val="clear" w:color="auto" w:fill="CFCECE" w:themeFill="background2" w:themeFillShade="E5"/>
            <w:vAlign w:val="center"/>
          </w:tcPr>
          <w:p w14:paraId="7737D25E">
            <w:pPr>
              <w:pStyle w:val="14"/>
              <w:keepNext w:val="0"/>
              <w:keepLines w:val="0"/>
              <w:widowControl/>
              <w:suppressLineNumbers w:val="0"/>
              <w:spacing w:before="0" w:beforeAutospacing="0" w:after="0" w:afterAutospacing="0" w:line="240" w:lineRule="auto"/>
              <w:ind w:left="0" w:right="0"/>
              <w:jc w:val="center"/>
              <w:rPr>
                <w:rFonts w:hint="eastAsia" w:ascii="仿宋" w:hAnsi="仿宋" w:eastAsia="仿宋" w:cs="仿宋"/>
                <w:sz w:val="22"/>
                <w:szCs w:val="22"/>
                <w:lang w:eastAsia="zh-CN"/>
              </w:rPr>
            </w:pPr>
            <w:r>
              <w:rPr>
                <w:rFonts w:hint="eastAsia" w:ascii="仿宋" w:hAnsi="仿宋" w:eastAsia="仿宋" w:cs="仿宋"/>
                <w:sz w:val="22"/>
                <w:szCs w:val="22"/>
                <w:lang w:eastAsia="zh-CN"/>
              </w:rPr>
              <w:t>预计数量</w:t>
            </w:r>
          </w:p>
        </w:tc>
        <w:tc>
          <w:tcPr>
            <w:tcW w:w="1267" w:type="dxa"/>
            <w:shd w:val="clear" w:color="auto" w:fill="CFCECE" w:themeFill="background2" w:themeFillShade="E5"/>
            <w:vAlign w:val="center"/>
          </w:tcPr>
          <w:p w14:paraId="04186FA5">
            <w:pPr>
              <w:pStyle w:val="14"/>
              <w:keepNext w:val="0"/>
              <w:keepLines w:val="0"/>
              <w:widowControl/>
              <w:suppressLineNumbers w:val="0"/>
              <w:spacing w:before="0" w:beforeAutospacing="0" w:after="0" w:afterAutospacing="0" w:line="240" w:lineRule="auto"/>
              <w:ind w:left="0" w:right="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计量单位</w:t>
            </w:r>
          </w:p>
        </w:tc>
        <w:tc>
          <w:tcPr>
            <w:tcW w:w="1588" w:type="dxa"/>
            <w:shd w:val="clear" w:color="auto" w:fill="CFCECE" w:themeFill="background2" w:themeFillShade="E5"/>
            <w:vAlign w:val="center"/>
          </w:tcPr>
          <w:p w14:paraId="34A3617E">
            <w:pPr>
              <w:pStyle w:val="14"/>
              <w:keepNext w:val="0"/>
              <w:keepLines w:val="0"/>
              <w:widowControl/>
              <w:suppressLineNumbers w:val="0"/>
              <w:spacing w:before="0" w:beforeAutospacing="0" w:after="0" w:afterAutospacing="0" w:line="240" w:lineRule="auto"/>
              <w:ind w:left="0" w:right="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标的金额（元）</w:t>
            </w:r>
          </w:p>
        </w:tc>
      </w:tr>
      <w:tr w14:paraId="3B2D49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trPr>
        <w:tc>
          <w:tcPr>
            <w:tcW w:w="759" w:type="dxa"/>
            <w:vAlign w:val="center"/>
          </w:tcPr>
          <w:p w14:paraId="21F462CF">
            <w:pPr>
              <w:pStyle w:val="14"/>
              <w:keepNext w:val="0"/>
              <w:keepLines w:val="0"/>
              <w:widowControl/>
              <w:suppressLineNumbers w:val="0"/>
              <w:spacing w:before="0" w:beforeAutospacing="0" w:after="0" w:afterAutospacing="0" w:line="360" w:lineRule="auto"/>
              <w:ind w:left="0" w:right="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1</w:t>
            </w:r>
          </w:p>
        </w:tc>
        <w:tc>
          <w:tcPr>
            <w:tcW w:w="2940" w:type="dxa"/>
            <w:vAlign w:val="center"/>
          </w:tcPr>
          <w:p w14:paraId="78C16C9F">
            <w:pPr>
              <w:keepNext w:val="0"/>
              <w:keepLines w:val="0"/>
              <w:widowControl w:val="0"/>
              <w:suppressLineNumbers w:val="0"/>
              <w:spacing w:before="0" w:beforeAutospacing="0" w:after="0" w:afterAutospacing="0"/>
              <w:ind w:left="0" w:right="0"/>
              <w:jc w:val="center"/>
              <w:rPr>
                <w:rFonts w:hint="eastAsia" w:ascii="仿宋" w:hAnsi="仿宋" w:eastAsia="仿宋" w:cs="仿宋"/>
                <w:sz w:val="22"/>
                <w:szCs w:val="22"/>
                <w:lang w:val="en-US" w:eastAsia="zh-CN"/>
              </w:rPr>
            </w:pPr>
            <w:r>
              <w:rPr>
                <w:rFonts w:hint="eastAsia" w:ascii="仿宋" w:hAnsi="仿宋" w:eastAsia="仿宋" w:cs="仿宋"/>
                <w:kern w:val="0"/>
                <w:sz w:val="24"/>
                <w:szCs w:val="24"/>
                <w:lang w:val="en-US" w:eastAsia="zh-CN"/>
              </w:rPr>
              <w:t>一次性使用三通阀</w:t>
            </w:r>
          </w:p>
        </w:tc>
        <w:tc>
          <w:tcPr>
            <w:tcW w:w="1629" w:type="dxa"/>
            <w:vAlign w:val="center"/>
          </w:tcPr>
          <w:p w14:paraId="5996278D">
            <w:pPr>
              <w:pStyle w:val="14"/>
              <w:keepNext w:val="0"/>
              <w:keepLines w:val="0"/>
              <w:widowControl/>
              <w:suppressLineNumbers w:val="0"/>
              <w:spacing w:before="0" w:beforeAutospacing="0" w:after="0" w:afterAutospacing="0" w:line="360" w:lineRule="auto"/>
              <w:ind w:left="0" w:right="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2.79</w:t>
            </w:r>
          </w:p>
        </w:tc>
        <w:tc>
          <w:tcPr>
            <w:tcW w:w="1281" w:type="dxa"/>
            <w:vAlign w:val="center"/>
          </w:tcPr>
          <w:p w14:paraId="29FE8DB2">
            <w:pPr>
              <w:pStyle w:val="14"/>
              <w:keepNext w:val="0"/>
              <w:keepLines w:val="0"/>
              <w:widowControl/>
              <w:suppressLineNumbers w:val="0"/>
              <w:spacing w:before="0" w:beforeAutospacing="0" w:after="0" w:afterAutospacing="0" w:line="360" w:lineRule="auto"/>
              <w:ind w:left="0" w:right="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按计划</w:t>
            </w:r>
          </w:p>
        </w:tc>
        <w:tc>
          <w:tcPr>
            <w:tcW w:w="1267" w:type="dxa"/>
            <w:vAlign w:val="center"/>
          </w:tcPr>
          <w:p w14:paraId="50C7E3D2">
            <w:pPr>
              <w:pStyle w:val="14"/>
              <w:keepNext w:val="0"/>
              <w:keepLines w:val="0"/>
              <w:widowControl/>
              <w:suppressLineNumbers w:val="0"/>
              <w:spacing w:before="0" w:beforeAutospacing="0" w:after="0" w:afterAutospacing="0" w:line="360" w:lineRule="auto"/>
              <w:ind w:left="0" w:right="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个</w:t>
            </w:r>
          </w:p>
        </w:tc>
        <w:tc>
          <w:tcPr>
            <w:tcW w:w="1588" w:type="dxa"/>
            <w:vAlign w:val="center"/>
          </w:tcPr>
          <w:p w14:paraId="1A277A36">
            <w:pPr>
              <w:pStyle w:val="14"/>
              <w:keepNext w:val="0"/>
              <w:keepLines w:val="0"/>
              <w:widowControl/>
              <w:suppressLineNumbers w:val="0"/>
              <w:spacing w:before="0" w:beforeAutospacing="0" w:after="0" w:afterAutospacing="0" w:line="360" w:lineRule="auto"/>
              <w:ind w:left="0" w:right="0"/>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据实结算</w:t>
            </w:r>
          </w:p>
        </w:tc>
      </w:tr>
    </w:tbl>
    <w:p w14:paraId="583BD6B6">
      <w:pPr>
        <w:pStyle w:val="14"/>
        <w:ind w:firstLine="480" w:firstLineChars="200"/>
        <w:jc w:val="left"/>
        <w:outlineLvl w:val="2"/>
        <w:rPr>
          <w:rFonts w:hint="eastAsia" w:ascii="仿宋" w:hAnsi="仿宋" w:eastAsia="仿宋" w:cs="仿宋"/>
          <w:b/>
          <w:sz w:val="28"/>
          <w:lang w:eastAsia="zh-CN"/>
        </w:rPr>
      </w:pPr>
      <w:r>
        <w:rPr>
          <w:rFonts w:hint="eastAsia" w:ascii="仿宋" w:hAnsi="仿宋" w:eastAsia="仿宋" w:cs="仿宋"/>
          <w:sz w:val="24"/>
          <w:szCs w:val="24"/>
        </w:rPr>
        <w:t>注：</w:t>
      </w:r>
      <w:r>
        <w:rPr>
          <w:rFonts w:hint="eastAsia" w:ascii="仿宋" w:hAnsi="仿宋" w:eastAsia="仿宋" w:cs="仿宋"/>
          <w:sz w:val="24"/>
          <w:szCs w:val="24"/>
          <w:lang w:eastAsia="zh-CN"/>
        </w:rPr>
        <w:t>竞选人</w:t>
      </w:r>
      <w:r>
        <w:rPr>
          <w:rFonts w:hint="eastAsia" w:ascii="仿宋" w:hAnsi="仿宋" w:eastAsia="仿宋" w:cs="仿宋"/>
          <w:sz w:val="24"/>
          <w:szCs w:val="24"/>
        </w:rPr>
        <w:t>响应产品应当明确品牌和规格型号并指向唯一产品，不能指向唯一产品的，应通过报价表唯一产品说明栏补充说明。</w:t>
      </w:r>
    </w:p>
    <w:p w14:paraId="4B7445EF">
      <w:pPr>
        <w:pStyle w:val="14"/>
        <w:jc w:val="left"/>
        <w:outlineLvl w:val="2"/>
        <w:rPr>
          <w:rFonts w:hint="eastAsia" w:ascii="仿宋" w:hAnsi="仿宋" w:eastAsia="仿宋" w:cs="仿宋"/>
          <w:lang w:eastAsia="zh-CN"/>
        </w:rPr>
      </w:pPr>
      <w:r>
        <w:rPr>
          <w:rFonts w:hint="eastAsia" w:ascii="仿宋" w:hAnsi="仿宋" w:eastAsia="仿宋" w:cs="仿宋"/>
          <w:b/>
          <w:sz w:val="28"/>
          <w:lang w:eastAsia="zh-CN"/>
        </w:rPr>
        <w:t>二、</w:t>
      </w:r>
      <w:r>
        <w:rPr>
          <w:rFonts w:hint="eastAsia" w:ascii="仿宋" w:hAnsi="仿宋" w:eastAsia="仿宋" w:cs="仿宋"/>
          <w:b/>
          <w:sz w:val="28"/>
        </w:rPr>
        <w:t>技术要求</w:t>
      </w:r>
    </w:p>
    <w:tbl>
      <w:tblPr>
        <w:tblStyle w:val="11"/>
        <w:tblW w:w="9900" w:type="dxa"/>
        <w:tblInd w:w="-306"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45"/>
        <w:gridCol w:w="1378"/>
        <w:gridCol w:w="1619"/>
        <w:gridCol w:w="3087"/>
        <w:gridCol w:w="3171"/>
      </w:tblGrid>
      <w:tr w14:paraId="24E598D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17" w:hRule="atLeast"/>
        </w:trPr>
        <w:tc>
          <w:tcPr>
            <w:tcW w:w="645" w:type="dxa"/>
            <w:shd w:val="clear" w:color="auto" w:fill="CFCECE" w:themeFill="background2" w:themeFillShade="E5"/>
            <w:vAlign w:val="center"/>
          </w:tcPr>
          <w:p w14:paraId="0E4EFF05">
            <w:pPr>
              <w:pStyle w:val="14"/>
              <w:keepNext w:val="0"/>
              <w:keepLines w:val="0"/>
              <w:widowControl/>
              <w:suppressLineNumbers w:val="0"/>
              <w:spacing w:before="0" w:beforeAutospacing="0" w:after="0" w:afterAutospacing="0"/>
              <w:ind w:left="0" w:right="0"/>
              <w:jc w:val="center"/>
              <w:rPr>
                <w:rFonts w:hint="eastAsia" w:ascii="仿宋" w:hAnsi="仿宋" w:eastAsia="仿宋" w:cs="仿宋"/>
                <w:sz w:val="24"/>
                <w:szCs w:val="24"/>
              </w:rPr>
            </w:pPr>
            <w:r>
              <w:rPr>
                <w:rFonts w:hint="eastAsia" w:ascii="仿宋" w:hAnsi="仿宋" w:eastAsia="仿宋" w:cs="仿宋"/>
                <w:sz w:val="24"/>
                <w:szCs w:val="24"/>
              </w:rPr>
              <w:t>序号</w:t>
            </w:r>
          </w:p>
        </w:tc>
        <w:tc>
          <w:tcPr>
            <w:tcW w:w="1378" w:type="dxa"/>
            <w:shd w:val="clear" w:color="auto" w:fill="CFCECE" w:themeFill="background2" w:themeFillShade="E5"/>
            <w:vAlign w:val="center"/>
          </w:tcPr>
          <w:p w14:paraId="17D790FB">
            <w:pPr>
              <w:pStyle w:val="14"/>
              <w:keepNext w:val="0"/>
              <w:keepLines w:val="0"/>
              <w:widowControl/>
              <w:suppressLineNumbers w:val="0"/>
              <w:spacing w:before="0" w:beforeAutospacing="0" w:after="0" w:afterAutospacing="0"/>
              <w:ind w:left="0" w:right="0"/>
              <w:jc w:val="center"/>
              <w:rPr>
                <w:rFonts w:hint="eastAsia" w:ascii="仿宋" w:hAnsi="仿宋" w:eastAsia="仿宋" w:cs="仿宋"/>
                <w:sz w:val="24"/>
                <w:szCs w:val="24"/>
              </w:rPr>
            </w:pPr>
            <w:r>
              <w:rPr>
                <w:rFonts w:hint="eastAsia" w:ascii="仿宋" w:hAnsi="仿宋" w:eastAsia="仿宋" w:cs="仿宋"/>
                <w:sz w:val="24"/>
                <w:szCs w:val="24"/>
                <w:lang w:val="en-US" w:eastAsia="zh-CN"/>
              </w:rPr>
              <w:t>名称</w:t>
            </w:r>
          </w:p>
        </w:tc>
        <w:tc>
          <w:tcPr>
            <w:tcW w:w="1619" w:type="dxa"/>
            <w:shd w:val="clear" w:color="auto" w:fill="CFCECE" w:themeFill="background2" w:themeFillShade="E5"/>
            <w:vAlign w:val="center"/>
          </w:tcPr>
          <w:p w14:paraId="7555B382">
            <w:pPr>
              <w:keepNext w:val="0"/>
              <w:keepLines w:val="0"/>
              <w:widowControl/>
              <w:suppressLineNumbers w:val="0"/>
              <w:spacing w:before="0" w:beforeAutospacing="0" w:after="0" w:afterAutospacing="0"/>
              <w:ind w:left="0" w:right="0"/>
              <w:jc w:val="both"/>
              <w:rPr>
                <w:rFonts w:hint="eastAsia" w:ascii="仿宋" w:hAnsi="仿宋" w:eastAsia="仿宋" w:cs="仿宋"/>
                <w:sz w:val="24"/>
                <w:szCs w:val="24"/>
              </w:rPr>
            </w:pPr>
            <w:r>
              <w:rPr>
                <w:rFonts w:hint="eastAsia" w:ascii="宋体" w:hAnsi="宋体" w:eastAsia="宋体" w:cs="宋体"/>
                <w:kern w:val="2"/>
                <w:sz w:val="24"/>
                <w:szCs w:val="24"/>
                <w:lang w:val="en-US" w:eastAsia="zh-CN" w:bidi="ar"/>
              </w:rPr>
              <w:t>★</w:t>
            </w:r>
            <w:r>
              <w:rPr>
                <w:rFonts w:hint="eastAsia" w:ascii="仿宋" w:hAnsi="仿宋" w:eastAsia="仿宋" w:cs="仿宋"/>
                <w:sz w:val="24"/>
                <w:szCs w:val="24"/>
                <w:lang w:val="en-US" w:eastAsia="zh-CN"/>
              </w:rPr>
              <w:t>医保耗材代码（前9位）</w:t>
            </w:r>
          </w:p>
        </w:tc>
        <w:tc>
          <w:tcPr>
            <w:tcW w:w="3087" w:type="dxa"/>
            <w:shd w:val="clear" w:color="auto" w:fill="CFCECE" w:themeFill="background2" w:themeFillShade="E5"/>
            <w:vAlign w:val="center"/>
          </w:tcPr>
          <w:p w14:paraId="091070E9">
            <w:pPr>
              <w:pStyle w:val="14"/>
              <w:keepNext w:val="0"/>
              <w:keepLines w:val="0"/>
              <w:widowControl/>
              <w:suppressLineNumbers w:val="0"/>
              <w:spacing w:before="0" w:beforeAutospacing="0" w:after="0" w:afterAutospacing="0"/>
              <w:ind w:left="0" w:right="0"/>
              <w:jc w:val="center"/>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用途及适应症</w:t>
            </w:r>
          </w:p>
        </w:tc>
        <w:tc>
          <w:tcPr>
            <w:tcW w:w="3171" w:type="dxa"/>
            <w:shd w:val="clear" w:color="auto" w:fill="CFCECE" w:themeFill="background2" w:themeFillShade="E5"/>
            <w:vAlign w:val="center"/>
          </w:tcPr>
          <w:p w14:paraId="746E81B0">
            <w:pPr>
              <w:pStyle w:val="14"/>
              <w:keepNext w:val="0"/>
              <w:keepLines w:val="0"/>
              <w:widowControl/>
              <w:suppressLineNumbers w:val="0"/>
              <w:spacing w:before="0" w:beforeAutospacing="0" w:after="0" w:afterAutospacing="0"/>
              <w:ind w:left="0" w:right="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其他需求</w:t>
            </w:r>
          </w:p>
        </w:tc>
      </w:tr>
      <w:tr w14:paraId="10EFD33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645" w:type="dxa"/>
            <w:vAlign w:val="center"/>
          </w:tcPr>
          <w:p w14:paraId="0C48701E">
            <w:pPr>
              <w:pStyle w:val="14"/>
              <w:keepNext w:val="0"/>
              <w:keepLines w:val="0"/>
              <w:widowControl/>
              <w:suppressLineNumbers w:val="0"/>
              <w:spacing w:before="0" w:beforeAutospacing="0" w:after="0" w:afterAutospacing="0"/>
              <w:ind w:left="0" w:right="0"/>
              <w:jc w:val="center"/>
              <w:rPr>
                <w:rFonts w:hint="eastAsia" w:ascii="仿宋" w:hAnsi="仿宋" w:eastAsia="仿宋" w:cs="仿宋"/>
                <w:sz w:val="24"/>
                <w:szCs w:val="24"/>
              </w:rPr>
            </w:pPr>
            <w:r>
              <w:rPr>
                <w:rFonts w:hint="eastAsia" w:ascii="仿宋" w:hAnsi="仿宋" w:eastAsia="仿宋" w:cs="仿宋"/>
                <w:sz w:val="24"/>
                <w:szCs w:val="24"/>
              </w:rPr>
              <w:t>1</w:t>
            </w:r>
          </w:p>
        </w:tc>
        <w:tc>
          <w:tcPr>
            <w:tcW w:w="1378" w:type="dxa"/>
            <w:vAlign w:val="center"/>
          </w:tcPr>
          <w:p w14:paraId="751469D7">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r>
              <w:rPr>
                <w:rFonts w:hint="eastAsia" w:ascii="仿宋" w:hAnsi="仿宋" w:eastAsia="仿宋" w:cs="仿宋"/>
                <w:sz w:val="24"/>
                <w:szCs w:val="24"/>
                <w:lang w:val="en-US" w:eastAsia="zh-CN"/>
              </w:rPr>
              <w:t>一次性使用三通阀</w:t>
            </w:r>
          </w:p>
        </w:tc>
        <w:tc>
          <w:tcPr>
            <w:tcW w:w="1619" w:type="dxa"/>
            <w:vAlign w:val="center"/>
          </w:tcPr>
          <w:p w14:paraId="1687F8A6">
            <w:pPr>
              <w:keepNext w:val="0"/>
              <w:keepLines w:val="0"/>
              <w:suppressLineNumbers w:val="0"/>
              <w:spacing w:before="0" w:beforeAutospacing="0" w:after="0" w:afterAutospacing="0"/>
              <w:ind w:left="0" w:right="0"/>
              <w:jc w:val="center"/>
              <w:rPr>
                <w:rFonts w:hint="eastAsia" w:ascii="仿宋" w:hAnsi="仿宋" w:eastAsia="仿宋" w:cs="仿宋"/>
                <w:sz w:val="24"/>
                <w:szCs w:val="24"/>
              </w:rPr>
            </w:pPr>
            <w:r>
              <w:rPr>
                <w:rFonts w:hint="eastAsia" w:ascii="仿宋" w:hAnsi="仿宋" w:eastAsia="仿宋" w:cs="仿宋"/>
                <w:sz w:val="24"/>
                <w:szCs w:val="24"/>
                <w:lang w:val="en-US" w:eastAsia="zh-CN"/>
              </w:rPr>
              <w:t>C142314229</w:t>
            </w:r>
          </w:p>
        </w:tc>
        <w:tc>
          <w:tcPr>
            <w:tcW w:w="3087" w:type="dxa"/>
            <w:vAlign w:val="center"/>
          </w:tcPr>
          <w:p w14:paraId="171159FA">
            <w:pPr>
              <w:keepNext w:val="0"/>
              <w:keepLines w:val="0"/>
              <w:suppressLineNumbers w:val="0"/>
              <w:spacing w:before="0" w:beforeAutospacing="0" w:after="0" w:afterAutospacing="0"/>
              <w:ind w:left="0" w:right="0" w:firstLine="480" w:firstLineChars="200"/>
              <w:jc w:val="both"/>
              <w:rPr>
                <w:rFonts w:hint="eastAsia" w:ascii="仿宋" w:hAnsi="仿宋" w:eastAsia="仿宋" w:cs="仿宋"/>
                <w:sz w:val="24"/>
                <w:szCs w:val="24"/>
              </w:rPr>
            </w:pPr>
            <w:r>
              <w:rPr>
                <w:rFonts w:hint="eastAsia" w:ascii="仿宋" w:hAnsi="仿宋" w:eastAsia="仿宋" w:cs="仿宋"/>
                <w:sz w:val="24"/>
                <w:szCs w:val="24"/>
                <w:lang w:val="en-US" w:eastAsia="zh-CN"/>
              </w:rPr>
              <w:t>用于连接输液管、注射器和其他医疗器械，实现液体的输送、注射和护理操作。</w:t>
            </w:r>
          </w:p>
        </w:tc>
        <w:tc>
          <w:tcPr>
            <w:tcW w:w="3171" w:type="dxa"/>
            <w:vAlign w:val="center"/>
          </w:tcPr>
          <w:p w14:paraId="583F6415">
            <w:pPr>
              <w:keepNext w:val="0"/>
              <w:keepLines w:val="0"/>
              <w:suppressLineNumbers w:val="0"/>
              <w:spacing w:before="0" w:beforeAutospacing="0" w:after="0" w:afterAutospacing="0"/>
              <w:ind w:left="0" w:right="0"/>
              <w:jc w:val="left"/>
              <w:rPr>
                <w:rFonts w:hint="default" w:ascii="仿宋" w:hAnsi="仿宋" w:eastAsia="仿宋" w:cs="仿宋"/>
                <w:sz w:val="24"/>
                <w:szCs w:val="24"/>
                <w:lang w:val="en-US" w:eastAsia="zh-CN"/>
              </w:rPr>
            </w:pPr>
            <w:r>
              <w:rPr>
                <w:rFonts w:hint="default" w:ascii="仿宋" w:hAnsi="仿宋" w:eastAsia="仿宋" w:cs="仿宋"/>
                <w:sz w:val="24"/>
                <w:szCs w:val="24"/>
                <w:lang w:val="en-US" w:eastAsia="zh-CN"/>
              </w:rPr>
              <w:t>提供至少2种颜色的旋钮供临床选用。</w:t>
            </w:r>
          </w:p>
          <w:p w14:paraId="53C73E94">
            <w:pPr>
              <w:keepNext w:val="0"/>
              <w:keepLines w:val="0"/>
              <w:suppressLineNumbers w:val="0"/>
              <w:spacing w:before="0" w:beforeAutospacing="0" w:after="0" w:afterAutospacing="0"/>
              <w:ind w:left="0" w:right="0"/>
              <w:jc w:val="center"/>
              <w:rPr>
                <w:rFonts w:hint="default" w:ascii="仿宋" w:hAnsi="仿宋" w:eastAsia="仿宋" w:cs="仿宋"/>
                <w:sz w:val="24"/>
                <w:szCs w:val="24"/>
                <w:lang w:val="en-US" w:eastAsia="zh-CN"/>
              </w:rPr>
            </w:pPr>
            <w:r>
              <w:rPr>
                <w:rFonts w:hint="default" w:ascii="仿宋" w:hAnsi="仿宋" w:eastAsia="仿宋" w:cs="仿宋"/>
                <w:sz w:val="24"/>
                <w:szCs w:val="24"/>
                <w:lang w:val="en-US" w:eastAsia="zh-CN"/>
              </w:rPr>
              <w:t>（该项不作实质性响应）</w:t>
            </w:r>
          </w:p>
        </w:tc>
      </w:tr>
    </w:tbl>
    <w:p w14:paraId="41086A42">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Times New Roman" w:hAnsi="Times New Roman" w:eastAsia="仿宋" w:cs="Times New Roman"/>
          <w:b w:val="0"/>
          <w:bCs w:val="0"/>
          <w:color w:val="auto"/>
          <w:sz w:val="24"/>
          <w:szCs w:val="24"/>
          <w:highlight w:val="none"/>
          <w:shd w:val="clear" w:color="auto" w:fill="auto"/>
          <w:lang w:val="en-US" w:eastAsia="zh-CN"/>
        </w:rPr>
      </w:pPr>
      <w:r>
        <w:rPr>
          <w:rFonts w:hint="eastAsia" w:ascii="Times New Roman" w:hAnsi="Times New Roman" w:eastAsia="仿宋" w:cs="Times New Roman"/>
          <w:b w:val="0"/>
          <w:bCs w:val="0"/>
          <w:color w:val="auto"/>
          <w:sz w:val="24"/>
          <w:szCs w:val="24"/>
          <w:highlight w:val="none"/>
          <w:shd w:val="clear" w:color="auto" w:fill="auto"/>
          <w:lang w:val="en-US" w:eastAsia="zh-CN"/>
        </w:rPr>
        <w:t>须知</w:t>
      </w:r>
      <w:r>
        <w:rPr>
          <w:rFonts w:hint="eastAsia" w:eastAsia="仿宋" w:cs="Times New Roman"/>
          <w:b w:val="0"/>
          <w:bCs w:val="0"/>
          <w:color w:val="auto"/>
          <w:sz w:val="24"/>
          <w:szCs w:val="24"/>
          <w:highlight w:val="none"/>
          <w:shd w:val="clear" w:color="auto" w:fill="auto"/>
          <w:lang w:val="en-US" w:eastAsia="zh-CN"/>
        </w:rPr>
        <w:t>：</w:t>
      </w:r>
      <w:r>
        <w:rPr>
          <w:rFonts w:hint="eastAsia" w:ascii="仿宋" w:hAnsi="仿宋" w:eastAsia="仿宋" w:cs="仿宋"/>
          <w:b w:val="0"/>
          <w:bCs w:val="0"/>
          <w:color w:val="auto"/>
          <w:sz w:val="24"/>
          <w:szCs w:val="24"/>
          <w:highlight w:val="none"/>
          <w:shd w:val="clear" w:color="auto" w:fill="auto"/>
          <w:lang w:val="en-US" w:eastAsia="zh-CN"/>
        </w:rPr>
        <w:t>1.</w:t>
      </w:r>
      <w:r>
        <w:rPr>
          <w:rFonts w:hint="eastAsia" w:ascii="Times New Roman" w:hAnsi="Times New Roman" w:eastAsia="仿宋" w:cs="Times New Roman"/>
          <w:b w:val="0"/>
          <w:bCs w:val="0"/>
          <w:color w:val="auto"/>
          <w:sz w:val="24"/>
          <w:szCs w:val="24"/>
          <w:highlight w:val="none"/>
          <w:shd w:val="clear" w:color="auto" w:fill="auto"/>
          <w:lang w:val="en-US" w:eastAsia="zh-CN"/>
        </w:rPr>
        <w:t>本部分标注“★”的条款为本项目的实质性条款，</w:t>
      </w:r>
      <w:r>
        <w:rPr>
          <w:rFonts w:hint="eastAsia" w:eastAsia="仿宋" w:cs="Times New Roman"/>
          <w:b w:val="0"/>
          <w:bCs w:val="0"/>
          <w:color w:val="auto"/>
          <w:sz w:val="24"/>
          <w:szCs w:val="24"/>
          <w:highlight w:val="none"/>
          <w:shd w:val="clear" w:color="auto" w:fill="auto"/>
          <w:lang w:val="en-US" w:eastAsia="zh-CN"/>
        </w:rPr>
        <w:t>竞选人</w:t>
      </w:r>
      <w:r>
        <w:rPr>
          <w:rFonts w:hint="eastAsia" w:ascii="Times New Roman" w:hAnsi="Times New Roman" w:eastAsia="仿宋" w:cs="Times New Roman"/>
          <w:b w:val="0"/>
          <w:bCs w:val="0"/>
          <w:color w:val="auto"/>
          <w:sz w:val="24"/>
          <w:szCs w:val="24"/>
          <w:highlight w:val="none"/>
          <w:shd w:val="clear" w:color="auto" w:fill="auto"/>
          <w:lang w:val="en-US" w:eastAsia="zh-CN"/>
        </w:rPr>
        <w:t>不满足的，将按照无效投标处理；标注“▲”的为重要条款，得分占比相较一般条款更高；未标注条款为一般条款。</w:t>
      </w:r>
    </w:p>
    <w:p w14:paraId="74E638B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仿宋" w:cs="Times New Roman"/>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2.</w:t>
      </w:r>
      <w:r>
        <w:rPr>
          <w:rFonts w:hint="eastAsia" w:ascii="Times New Roman" w:hAnsi="Times New Roman" w:eastAsia="仿宋" w:cs="Times New Roman"/>
          <w:b w:val="0"/>
          <w:bCs w:val="0"/>
          <w:color w:val="auto"/>
          <w:sz w:val="24"/>
          <w:szCs w:val="24"/>
          <w:highlight w:val="none"/>
          <w:shd w:val="clear" w:color="auto" w:fill="auto"/>
          <w:lang w:val="en-US" w:eastAsia="zh-CN"/>
        </w:rPr>
        <w:t>技术要求条款均为条目式，参数设置请客观明确，参与评分的指标应当是采购需求中的量化指标，评分项应当按照量化指标的等次，设置对应的不同分值。不能完全确定客观指标，需由</w:t>
      </w:r>
      <w:r>
        <w:rPr>
          <w:rFonts w:hint="eastAsia" w:eastAsia="仿宋" w:cs="Times New Roman"/>
          <w:b w:val="0"/>
          <w:bCs w:val="0"/>
          <w:color w:val="auto"/>
          <w:sz w:val="24"/>
          <w:szCs w:val="24"/>
          <w:highlight w:val="none"/>
          <w:shd w:val="clear" w:color="auto" w:fill="auto"/>
          <w:lang w:val="en-US" w:eastAsia="zh-CN"/>
        </w:rPr>
        <w:t>竞选人</w:t>
      </w:r>
      <w:r>
        <w:rPr>
          <w:rFonts w:hint="eastAsia" w:ascii="Times New Roman" w:hAnsi="Times New Roman" w:eastAsia="仿宋" w:cs="Times New Roman"/>
          <w:b w:val="0"/>
          <w:bCs w:val="0"/>
          <w:color w:val="auto"/>
          <w:sz w:val="24"/>
          <w:szCs w:val="24"/>
          <w:highlight w:val="none"/>
          <w:shd w:val="clear" w:color="auto" w:fill="auto"/>
          <w:lang w:val="en-US" w:eastAsia="zh-CN"/>
        </w:rPr>
        <w:t>提供设计方案、解决方案或者组织方案的采购项目</w:t>
      </w:r>
      <w:r>
        <w:rPr>
          <w:rFonts w:hint="eastAsia" w:eastAsia="仿宋" w:cs="Times New Roman"/>
          <w:b w:val="0"/>
          <w:bCs w:val="0"/>
          <w:color w:val="auto"/>
          <w:sz w:val="24"/>
          <w:szCs w:val="24"/>
          <w:highlight w:val="none"/>
          <w:shd w:val="clear" w:color="auto" w:fill="auto"/>
          <w:lang w:val="en-US" w:eastAsia="zh-CN"/>
        </w:rPr>
        <w:t>。</w:t>
      </w:r>
    </w:p>
    <w:p w14:paraId="2696F409">
      <w:pPr>
        <w:rPr>
          <w:rFonts w:hint="eastAsia" w:ascii="Times New Roman" w:hAnsi="Times New Roman" w:eastAsia="仿宋" w:cs="Times New Roman"/>
          <w:b/>
          <w:bCs/>
          <w:color w:val="auto"/>
          <w:sz w:val="22"/>
          <w:szCs w:val="22"/>
          <w:highlight w:val="none"/>
          <w:shd w:val="clear" w:color="auto" w:fill="auto"/>
          <w:lang w:val="en-US" w:eastAsia="zh-CN"/>
        </w:rPr>
      </w:pPr>
      <w:r>
        <w:rPr>
          <w:rFonts w:hint="eastAsia" w:ascii="Times New Roman" w:hAnsi="Times New Roman" w:eastAsia="仿宋" w:cs="Times New Roman"/>
          <w:b/>
          <w:bCs/>
          <w:color w:val="auto"/>
          <w:sz w:val="22"/>
          <w:szCs w:val="22"/>
          <w:highlight w:val="none"/>
          <w:shd w:val="clear" w:color="auto" w:fill="auto"/>
          <w:lang w:val="en-US" w:eastAsia="zh-CN"/>
        </w:rPr>
        <w:br w:type="page"/>
      </w:r>
    </w:p>
    <w:p w14:paraId="70D28E0F">
      <w:pPr>
        <w:keepNext w:val="0"/>
        <w:keepLines w:val="0"/>
        <w:pageBreakBefore w:val="0"/>
        <w:widowControl w:val="0"/>
        <w:kinsoku/>
        <w:wordWrap/>
        <w:overflowPunct/>
        <w:topLinePunct w:val="0"/>
        <w:autoSpaceDE/>
        <w:autoSpaceDN/>
        <w:bidi w:val="0"/>
        <w:adjustRightInd/>
        <w:snapToGrid/>
        <w:spacing w:line="480" w:lineRule="auto"/>
        <w:ind w:firstLine="0" w:firstLineChars="0"/>
        <w:textAlignment w:val="auto"/>
        <w:rPr>
          <w:rFonts w:hint="eastAsia" w:ascii="仿宋" w:hAnsi="仿宋" w:eastAsia="仿宋" w:cs="仿宋"/>
          <w:b/>
          <w:sz w:val="28"/>
          <w:lang w:val="en-US" w:eastAsia="zh-CN"/>
        </w:rPr>
      </w:pPr>
      <w:r>
        <w:rPr>
          <w:rFonts w:hint="eastAsia" w:ascii="仿宋" w:hAnsi="仿宋" w:eastAsia="仿宋" w:cs="仿宋"/>
          <w:b/>
          <w:sz w:val="28"/>
          <w:lang w:val="en-US" w:eastAsia="zh-CN"/>
        </w:rPr>
        <w:t>★三、项目采购要求</w:t>
      </w:r>
    </w:p>
    <w:p w14:paraId="71B3DB46">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bCs/>
          <w:color w:val="000000"/>
          <w:sz w:val="24"/>
          <w:szCs w:val="24"/>
          <w:lang w:val="en-US" w:eastAsia="zh-CN"/>
        </w:rPr>
      </w:pPr>
      <w:r>
        <w:rPr>
          <w:rFonts w:hint="eastAsia" w:ascii="仿宋" w:hAnsi="仿宋" w:eastAsia="仿宋" w:cs="仿宋"/>
          <w:b/>
          <w:bCs/>
          <w:color w:val="000000"/>
          <w:sz w:val="24"/>
          <w:szCs w:val="24"/>
          <w:lang w:val="en-US" w:eastAsia="zh-CN"/>
        </w:rPr>
        <w:t>（一）挂网需求</w:t>
      </w:r>
    </w:p>
    <w:p w14:paraId="34CDB7A6">
      <w:pPr>
        <w:keepNext w:val="0"/>
        <w:keepLines w:val="0"/>
        <w:widowControl w:val="0"/>
        <w:suppressLineNumbers w:val="0"/>
        <w:autoSpaceDE w:val="0"/>
        <w:autoSpaceDN/>
        <w:spacing w:before="0" w:beforeAutospacing="0" w:after="0" w:afterAutospacing="0" w:line="360" w:lineRule="auto"/>
        <w:ind w:left="0" w:right="0" w:firstLine="420" w:firstLineChars="0"/>
        <w:jc w:val="both"/>
        <w:rPr>
          <w:rFonts w:hint="eastAsia" w:ascii="仿宋" w:hAnsi="仿宋" w:eastAsia="仿宋" w:cs="仿宋"/>
          <w:color w:val="000000"/>
          <w:kern w:val="2"/>
          <w:sz w:val="24"/>
          <w:szCs w:val="24"/>
        </w:rPr>
      </w:pPr>
      <w:r>
        <w:rPr>
          <w:rFonts w:hint="eastAsia" w:ascii="仿宋" w:hAnsi="仿宋" w:eastAsia="仿宋" w:cs="仿宋"/>
          <w:color w:val="000000"/>
          <w:kern w:val="2"/>
          <w:sz w:val="24"/>
          <w:szCs w:val="24"/>
          <w:lang w:val="en-US" w:eastAsia="zh-CN" w:bidi="ar"/>
        </w:rPr>
        <w:t>本项目所有标的均须提供挂网产品。</w:t>
      </w:r>
    </w:p>
    <w:p w14:paraId="5D2CA47D">
      <w:pPr>
        <w:keepNext w:val="0"/>
        <w:keepLines w:val="0"/>
        <w:widowControl w:val="0"/>
        <w:suppressLineNumbers w:val="0"/>
        <w:autoSpaceDE w:val="0"/>
        <w:autoSpaceDN/>
        <w:spacing w:before="0" w:beforeAutospacing="0" w:after="0" w:afterAutospacing="0" w:line="360" w:lineRule="auto"/>
        <w:ind w:left="0" w:right="0" w:firstLine="420" w:firstLineChars="0"/>
        <w:jc w:val="both"/>
        <w:rPr>
          <w:rFonts w:hint="eastAsia" w:ascii="仿宋" w:hAnsi="仿宋" w:eastAsia="仿宋" w:cs="仿宋"/>
          <w:color w:val="000000"/>
          <w:kern w:val="2"/>
          <w:sz w:val="24"/>
          <w:szCs w:val="24"/>
        </w:rPr>
      </w:pPr>
      <w:r>
        <w:rPr>
          <w:rFonts w:hint="eastAsia" w:ascii="仿宋" w:hAnsi="仿宋" w:eastAsia="仿宋" w:cs="仿宋"/>
          <w:color w:val="000000"/>
          <w:kern w:val="2"/>
          <w:sz w:val="24"/>
          <w:szCs w:val="24"/>
          <w:lang w:val="en-US" w:eastAsia="zh-CN" w:bidi="ar"/>
        </w:rPr>
        <w:t>注：本项目中所指“挂网产品”，为“四川省药品和医用耗材招采管理系统”中已挂网产品（不含正在挂网和备案的产品）。</w:t>
      </w:r>
    </w:p>
    <w:p w14:paraId="49884967">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bCs/>
          <w:color w:val="000000"/>
          <w:sz w:val="24"/>
          <w:szCs w:val="24"/>
          <w:lang w:val="en-US" w:eastAsia="zh-CN"/>
        </w:rPr>
      </w:pPr>
      <w:r>
        <w:rPr>
          <w:rFonts w:hint="eastAsia" w:ascii="仿宋" w:hAnsi="仿宋" w:eastAsia="仿宋" w:cs="仿宋"/>
          <w:b/>
          <w:bCs/>
          <w:color w:val="000000"/>
          <w:sz w:val="24"/>
          <w:szCs w:val="24"/>
          <w:lang w:val="en-US" w:eastAsia="zh-CN"/>
        </w:rPr>
        <w:t>（二）样品要求</w:t>
      </w:r>
    </w:p>
    <w:p w14:paraId="1B120433">
      <w:pPr>
        <w:keepNext w:val="0"/>
        <w:keepLines w:val="0"/>
        <w:widowControl w:val="0"/>
        <w:suppressLineNumbers w:val="0"/>
        <w:autoSpaceDE w:val="0"/>
        <w:autoSpaceDN/>
        <w:spacing w:before="0" w:beforeAutospacing="0" w:after="0" w:afterAutospacing="0" w:line="360" w:lineRule="auto"/>
        <w:ind w:left="0" w:leftChars="0" w:right="0"/>
        <w:jc w:val="left"/>
        <w:rPr>
          <w:rFonts w:hint="eastAsia" w:ascii="仿宋" w:hAnsi="仿宋" w:eastAsia="仿宋" w:cs="仿宋"/>
          <w:b/>
          <w:bCs/>
          <w:kern w:val="2"/>
          <w:sz w:val="24"/>
          <w:szCs w:val="24"/>
          <w:highlight w:val="none"/>
        </w:rPr>
      </w:pPr>
      <w:r>
        <w:rPr>
          <w:rFonts w:hint="eastAsia" w:ascii="仿宋" w:hAnsi="仿宋" w:eastAsia="仿宋" w:cs="仿宋"/>
          <w:b/>
          <w:bCs/>
          <w:kern w:val="2"/>
          <w:sz w:val="24"/>
          <w:szCs w:val="24"/>
          <w:lang w:val="en-US" w:eastAsia="zh-CN" w:bidi="ar"/>
        </w:rPr>
        <w:t xml:space="preserve">    </w:t>
      </w:r>
      <w:r>
        <w:rPr>
          <w:rFonts w:hint="eastAsia" w:ascii="仿宋" w:hAnsi="仿宋" w:eastAsia="仿宋" w:cs="仿宋"/>
          <w:b/>
          <w:bCs/>
          <w:kern w:val="2"/>
          <w:sz w:val="24"/>
          <w:szCs w:val="24"/>
          <w:highlight w:val="none"/>
          <w:lang w:val="en-US" w:eastAsia="zh-CN" w:bidi="ar"/>
        </w:rPr>
        <w:t>1.必须提供样品，以供评审专家现场评审。</w:t>
      </w:r>
    </w:p>
    <w:p w14:paraId="125895D3">
      <w:pPr>
        <w:keepNext w:val="0"/>
        <w:keepLines w:val="0"/>
        <w:widowControl w:val="0"/>
        <w:suppressLineNumbers w:val="0"/>
        <w:autoSpaceDE w:val="0"/>
        <w:autoSpaceDN/>
        <w:spacing w:before="0" w:beforeAutospacing="0" w:after="0" w:afterAutospacing="0" w:line="360" w:lineRule="auto"/>
        <w:ind w:right="0" w:firstLine="480" w:firstLineChars="200"/>
        <w:jc w:val="both"/>
        <w:rPr>
          <w:rFonts w:hint="eastAsia" w:ascii="仿宋" w:hAnsi="仿宋" w:eastAsia="仿宋" w:cs="仿宋"/>
          <w:color w:val="000000"/>
          <w:kern w:val="2"/>
          <w:sz w:val="24"/>
          <w:szCs w:val="24"/>
          <w:highlight w:val="none"/>
        </w:rPr>
      </w:pPr>
      <w:r>
        <w:rPr>
          <w:rFonts w:hint="eastAsia" w:ascii="仿宋" w:hAnsi="仿宋" w:eastAsia="仿宋" w:cs="仿宋"/>
          <w:color w:val="000000"/>
          <w:kern w:val="2"/>
          <w:sz w:val="24"/>
          <w:szCs w:val="24"/>
          <w:highlight w:val="none"/>
          <w:lang w:val="en-US" w:eastAsia="zh-CN" w:bidi="ar"/>
        </w:rPr>
        <w:t>2.提交的样品不符合实际需求或存在原理错误则视为无效响应。</w:t>
      </w:r>
    </w:p>
    <w:p w14:paraId="7D64724A">
      <w:pPr>
        <w:keepNext w:val="0"/>
        <w:keepLines w:val="0"/>
        <w:widowControl w:val="0"/>
        <w:suppressLineNumbers w:val="0"/>
        <w:autoSpaceDE w:val="0"/>
        <w:autoSpaceDN/>
        <w:spacing w:before="0" w:beforeAutospacing="0" w:after="0" w:afterAutospacing="0" w:line="360" w:lineRule="auto"/>
        <w:ind w:right="0" w:firstLine="480" w:firstLineChars="200"/>
        <w:jc w:val="both"/>
        <w:rPr>
          <w:rFonts w:hint="eastAsia" w:ascii="仿宋" w:hAnsi="仿宋" w:eastAsia="仿宋" w:cs="仿宋"/>
          <w:color w:val="000000"/>
          <w:kern w:val="2"/>
          <w:sz w:val="24"/>
          <w:szCs w:val="24"/>
          <w:highlight w:val="none"/>
        </w:rPr>
      </w:pPr>
      <w:r>
        <w:rPr>
          <w:rFonts w:hint="eastAsia" w:ascii="仿宋" w:hAnsi="仿宋" w:eastAsia="仿宋" w:cs="仿宋"/>
          <w:color w:val="000000"/>
          <w:kern w:val="2"/>
          <w:sz w:val="24"/>
          <w:szCs w:val="24"/>
          <w:highlight w:val="none"/>
          <w:lang w:val="en-US" w:eastAsia="zh-CN" w:bidi="ar"/>
        </w:rPr>
        <w:t>3.本项目竞选人提供的样品，应与该竞选人响应文件保持一致（具体参考《医疗器械说明书和标签管理规定》）。</w:t>
      </w:r>
    </w:p>
    <w:p w14:paraId="13733140">
      <w:pPr>
        <w:keepNext w:val="0"/>
        <w:keepLines w:val="0"/>
        <w:pageBreakBefore w:val="0"/>
        <w:widowControl w:val="0"/>
        <w:kinsoku/>
        <w:wordWrap/>
        <w:overflowPunct/>
        <w:topLinePunct w:val="0"/>
        <w:autoSpaceDE/>
        <w:autoSpaceDN/>
        <w:bidi w:val="0"/>
        <w:adjustRightInd/>
        <w:snapToGrid/>
        <w:spacing w:line="480" w:lineRule="auto"/>
        <w:ind w:firstLine="0" w:firstLineChars="0"/>
        <w:textAlignment w:val="auto"/>
        <w:rPr>
          <w:rFonts w:hint="default" w:ascii="仿宋" w:hAnsi="仿宋" w:eastAsia="仿宋" w:cs="仿宋"/>
          <w:b/>
          <w:bCs/>
          <w:color w:val="000000"/>
          <w:sz w:val="24"/>
          <w:szCs w:val="24"/>
          <w:lang w:val="en-US" w:eastAsia="zh-CN"/>
        </w:rPr>
      </w:pPr>
      <w:r>
        <w:rPr>
          <w:rFonts w:hint="eastAsia" w:ascii="Times New Roman" w:hAnsi="Times New Roman" w:eastAsia="仿宋" w:cs="Times New Roman"/>
          <w:b/>
          <w:bCs/>
          <w:color w:val="auto"/>
          <w:sz w:val="22"/>
          <w:szCs w:val="22"/>
          <w:highlight w:val="none"/>
          <w:shd w:val="clear" w:color="auto" w:fill="auto"/>
          <w:lang w:val="en-US" w:eastAsia="zh-CN"/>
        </w:rPr>
        <w:t>★</w:t>
      </w:r>
      <w:r>
        <w:rPr>
          <w:rFonts w:hint="eastAsia" w:ascii="仿宋" w:hAnsi="仿宋" w:eastAsia="仿宋" w:cs="仿宋"/>
          <w:b/>
          <w:sz w:val="28"/>
          <w:lang w:val="en-US" w:eastAsia="zh-CN"/>
        </w:rPr>
        <w:t>四、商务</w:t>
      </w:r>
      <w:r>
        <w:rPr>
          <w:rFonts w:hint="eastAsia" w:ascii="仿宋" w:hAnsi="仿宋" w:eastAsia="仿宋" w:cs="仿宋"/>
          <w:b/>
          <w:sz w:val="28"/>
        </w:rPr>
        <w:t>要求</w:t>
      </w:r>
    </w:p>
    <w:p w14:paraId="6465C19E">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bCs/>
          <w:color w:val="000000"/>
          <w:sz w:val="24"/>
          <w:szCs w:val="24"/>
          <w:lang w:val="en-US" w:eastAsia="zh-CN"/>
        </w:rPr>
      </w:pPr>
      <w:r>
        <w:rPr>
          <w:rFonts w:hint="eastAsia" w:ascii="仿宋" w:hAnsi="仿宋" w:eastAsia="仿宋" w:cs="仿宋"/>
          <w:b/>
          <w:bCs/>
          <w:color w:val="000000"/>
          <w:sz w:val="24"/>
          <w:szCs w:val="24"/>
          <w:lang w:val="en-US" w:eastAsia="zh-CN"/>
        </w:rPr>
        <w:t>（一）交货期及地点</w:t>
      </w:r>
    </w:p>
    <w:p w14:paraId="617F275D">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1.交货期：每次配送时间必须严格按照采购人配送通知执行，中标人应于收到通知后2小时内响应。急救耗材的配送时间不应超过4小时，一般耗材原则上的配送时间不应超过2个工作日。</w:t>
      </w:r>
    </w:p>
    <w:p w14:paraId="62B22DCD">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2.交货地点：内江市第一人民医院指定地点。</w:t>
      </w:r>
    </w:p>
    <w:p w14:paraId="6B79EDAC">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bCs/>
          <w:color w:val="000000"/>
          <w:sz w:val="24"/>
          <w:szCs w:val="24"/>
          <w:lang w:val="en-US" w:eastAsia="zh-CN"/>
        </w:rPr>
      </w:pPr>
      <w:r>
        <w:rPr>
          <w:rFonts w:hint="eastAsia" w:ascii="仿宋" w:hAnsi="仿宋" w:eastAsia="仿宋" w:cs="仿宋"/>
          <w:b/>
          <w:bCs/>
          <w:color w:val="000000"/>
          <w:sz w:val="24"/>
          <w:szCs w:val="24"/>
          <w:lang w:val="en-US" w:eastAsia="zh-CN"/>
        </w:rPr>
        <w:t>（二）付款方法和条件</w:t>
      </w:r>
    </w:p>
    <w:p w14:paraId="7945FFFF">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kern w:val="2"/>
          <w:sz w:val="24"/>
          <w:szCs w:val="24"/>
          <w:lang w:val="en-US" w:eastAsia="zh-CN" w:bidi="ar-SA"/>
        </w:rPr>
        <w:t>1.结算方式：货款按实结算且由双方协商决定。</w:t>
      </w:r>
    </w:p>
    <w:p w14:paraId="641662C9">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kern w:val="2"/>
          <w:sz w:val="24"/>
          <w:szCs w:val="24"/>
          <w:lang w:val="en-US" w:eastAsia="zh-CN" w:bidi="ar-SA"/>
        </w:rPr>
        <w:t>2.成交价格包含成本、运输、包装、培训、配送、伴随服务、税费及其他附加费用。</w:t>
      </w:r>
    </w:p>
    <w:p w14:paraId="7C811062">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bCs/>
          <w:color w:val="000000"/>
          <w:sz w:val="24"/>
          <w:szCs w:val="24"/>
          <w:lang w:val="en-US" w:eastAsia="zh-CN"/>
        </w:rPr>
      </w:pPr>
      <w:r>
        <w:rPr>
          <w:rFonts w:hint="eastAsia" w:ascii="仿宋" w:hAnsi="仿宋" w:eastAsia="仿宋" w:cs="仿宋"/>
          <w:b/>
          <w:bCs/>
          <w:color w:val="000000"/>
          <w:sz w:val="24"/>
          <w:szCs w:val="24"/>
          <w:lang w:val="en-US" w:eastAsia="zh-CN"/>
        </w:rPr>
        <w:t>（三）医用耗材质量保证</w:t>
      </w:r>
    </w:p>
    <w:p w14:paraId="1DFEDF5B">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kern w:val="2"/>
          <w:sz w:val="24"/>
          <w:szCs w:val="24"/>
          <w:lang w:val="en-US" w:eastAsia="zh-CN" w:bidi="ar-SA"/>
        </w:rPr>
        <w:t>1.中标人须提供原厂生产的未曾使用过的、全新的合格的货品（含配套配件等），表面无划伤、无破损痕迹，且权属清楚，不得侵害他人的合法权利。</w:t>
      </w:r>
    </w:p>
    <w:p w14:paraId="55B15A61">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kern w:val="2"/>
          <w:sz w:val="24"/>
          <w:szCs w:val="24"/>
          <w:lang w:val="en-US" w:eastAsia="zh-CN" w:bidi="ar-SA"/>
        </w:rPr>
        <w:t>2.中标人所提供货品须符合或优于国家（行业）标准、本项目竞选文件要求及响应文件响应内容。当响应文件响应内容与竞选文件要求不一致时，以响应文件响应内容为准。当响应文件响应内容与国家标准、行业标准（若有）不一致时，以较高标准为准。</w:t>
      </w:r>
    </w:p>
    <w:p w14:paraId="50A89255">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kern w:val="2"/>
          <w:sz w:val="24"/>
          <w:szCs w:val="24"/>
          <w:lang w:val="en-US" w:eastAsia="zh-CN" w:bidi="ar-SA"/>
        </w:rPr>
        <w:t>3.中标人提供货品的设计技术专利、外形专利等均应符合我国有关法律法规及行业标准，凡因以上问题与第三方发生的任何纠纷，由中标人承担全部责任，</w:t>
      </w:r>
      <w:r>
        <w:rPr>
          <w:rFonts w:hint="eastAsia" w:ascii="仿宋" w:hAnsi="仿宋" w:eastAsia="仿宋" w:cs="仿宋"/>
          <w:b w:val="0"/>
          <w:bCs w:val="0"/>
          <w:color w:val="000000"/>
          <w:kern w:val="2"/>
          <w:sz w:val="24"/>
          <w:szCs w:val="24"/>
          <w:lang w:val="en-US" w:eastAsia="zh-Hans" w:bidi="ar-SA"/>
        </w:rPr>
        <w:t>中标人还应</w:t>
      </w:r>
      <w:r>
        <w:rPr>
          <w:rFonts w:hint="eastAsia" w:ascii="仿宋" w:hAnsi="仿宋" w:eastAsia="仿宋" w:cs="仿宋"/>
          <w:b w:val="0"/>
          <w:bCs w:val="0"/>
          <w:color w:val="000000"/>
          <w:kern w:val="2"/>
          <w:sz w:val="24"/>
          <w:szCs w:val="24"/>
          <w:lang w:val="en-US" w:eastAsia="zh-CN" w:bidi="ar-SA"/>
        </w:rPr>
        <w:t>负责赔偿采购人由此而遭受的全部损失。</w:t>
      </w:r>
    </w:p>
    <w:p w14:paraId="6FDCC49F">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kern w:val="2"/>
          <w:sz w:val="24"/>
          <w:szCs w:val="24"/>
          <w:lang w:val="en-US" w:eastAsia="zh-CN" w:bidi="ar-SA"/>
        </w:rPr>
        <w:t>4.中标人保证其提供货品的安全可靠性。在正常使用下不应对使用者造成任何人身伤害，如因产品质量或标示不明确而对使用者造成损失的，由中标人承担相应责任。</w:t>
      </w:r>
    </w:p>
    <w:p w14:paraId="0D584270">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kern w:val="2"/>
          <w:sz w:val="24"/>
          <w:szCs w:val="24"/>
          <w:lang w:val="en-US" w:eastAsia="zh-CN" w:bidi="ar-SA"/>
        </w:rPr>
        <w:t>5.中标人应保证所供耗材原产地真实，医用耗材是全新的、未使用过的，质量符合国家标准（在无国家标准时，符合行业标准），不得以假充真，以次充好，确保临床医疗安全。如出现质量问题，中标人负责按照采购人要求办理退货并承担因耗材质量导致的经济和法律责任。送货时，需向采购人提供以下资料：产品送货单、产品合格证明文件（检验报告单）、进口产品需出具中文标签、进口产品需提供中华人民共和国海关进口货物报关单。</w:t>
      </w:r>
    </w:p>
    <w:p w14:paraId="0F837FE9">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kern w:val="2"/>
          <w:sz w:val="24"/>
          <w:szCs w:val="24"/>
          <w:lang w:val="en-US" w:eastAsia="zh-CN" w:bidi="ar-SA"/>
        </w:rPr>
        <w:t>6.中标人保证所供耗材有效期不低于1年，自通过最终验收之日起，确保采购人在使用耗材的过程中安全、有效。</w:t>
      </w:r>
    </w:p>
    <w:p w14:paraId="2365AEFC">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bCs/>
          <w:color w:val="000000"/>
          <w:sz w:val="24"/>
          <w:szCs w:val="24"/>
          <w:lang w:val="en-US" w:eastAsia="zh-CN"/>
        </w:rPr>
      </w:pPr>
      <w:r>
        <w:rPr>
          <w:rFonts w:hint="eastAsia" w:ascii="仿宋" w:hAnsi="仿宋" w:eastAsia="仿宋" w:cs="仿宋"/>
          <w:b/>
          <w:bCs/>
          <w:color w:val="000000"/>
          <w:sz w:val="24"/>
          <w:szCs w:val="24"/>
          <w:lang w:val="en-US" w:eastAsia="zh-CN"/>
        </w:rPr>
        <w:t>（四）验收</w:t>
      </w:r>
    </w:p>
    <w:p w14:paraId="235E89EB">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1.按照《财政部关于进一步加强政府采购需求和履约验收管理的指导意见》（财库〔2016〕205号）的要求以及采购人竞选文件的质量要求和技术指标、中标人的响应文件及承诺（若有）、国家（行业）标准、采购合同约定标准进行验收；</w:t>
      </w:r>
    </w:p>
    <w:p w14:paraId="7F95823E">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2.验收时如发现所交付的货物有短装、次品、损坏或其他不符合验收标准的，采购人应做出详尽的现场记录，此现场记录或备忘录可用作补充、缺失和更换损坏部件的有效证据，由此产生的时间延误与有关费用由中标人承担，验收期限相应顺延；</w:t>
      </w:r>
    </w:p>
    <w:p w14:paraId="3F079BB9">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3.若所提供货物不符合验收标准，中标人经过2次维修或2次调换后仍不能达到验收质量标准，则视为验收不合格，采购人有权全部（或部分）退货或解除合同。接到采购人退货通知，中标人除应及时运走采购人退还的货物外（若涉及费用或损失均由中标人自行承担），还应向采购人承担相应的违约责任。</w:t>
      </w:r>
    </w:p>
    <w:p w14:paraId="6944FF81">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bCs/>
          <w:color w:val="000000"/>
          <w:sz w:val="24"/>
          <w:szCs w:val="24"/>
          <w:lang w:val="en-US" w:eastAsia="zh-CN"/>
        </w:rPr>
      </w:pPr>
      <w:r>
        <w:rPr>
          <w:rFonts w:hint="eastAsia" w:ascii="仿宋" w:hAnsi="仿宋" w:eastAsia="仿宋" w:cs="仿宋"/>
          <w:b w:val="0"/>
          <w:bCs w:val="0"/>
          <w:color w:val="000000"/>
          <w:sz w:val="24"/>
          <w:szCs w:val="24"/>
          <w:lang w:val="en-US" w:eastAsia="zh-CN"/>
        </w:rPr>
        <w:t>4.其他未尽事宜严格按照《财政部关于进一步加强政府采购需求和履约验收管理的指导意见》（财库〔2016〕205号）的要求进行。</w:t>
      </w:r>
    </w:p>
    <w:p w14:paraId="570F2940">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bCs/>
          <w:color w:val="000000"/>
          <w:sz w:val="24"/>
          <w:szCs w:val="24"/>
          <w:lang w:val="en-US" w:eastAsia="zh-CN"/>
        </w:rPr>
      </w:pPr>
      <w:r>
        <w:rPr>
          <w:rFonts w:hint="eastAsia" w:ascii="仿宋" w:hAnsi="仿宋" w:eastAsia="仿宋" w:cs="仿宋"/>
          <w:b/>
          <w:bCs/>
          <w:color w:val="000000"/>
          <w:sz w:val="24"/>
          <w:szCs w:val="24"/>
          <w:lang w:val="en-US" w:eastAsia="zh-CN"/>
        </w:rPr>
        <w:t>（五）售后服务</w:t>
      </w:r>
    </w:p>
    <w:p w14:paraId="5F96A762">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1.要求中标人必须严格按照竞选文件要求和响应文件中的承诺提供配送服务。如果配送的医用耗材规格、包装等信息与中标产品的规格、包装等信息不一致并不同意更换的，或配送的医用耗材和中标产品不一致的，采购人有权终止合同。</w:t>
      </w:r>
    </w:p>
    <w:p w14:paraId="0DCE71B1">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2.要求中标人指派专人负责与采购人联系售后服务事宜；在响应文件中列明售后联系人及联系电话。</w:t>
      </w:r>
    </w:p>
    <w:p w14:paraId="2435DE16">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3.要求中标人须按采购人要求分期分批按时交货，每次配送的时间和数量必须严格按照采购人发送的配送通知执行。要求急需使用的产品4小时内送达，一般情况48小时内送达，若因采购人原因时间变更，以采购人通知时间为准，节假日照常配送，并承诺无条件退换破损和近效期产品。</w:t>
      </w:r>
    </w:p>
    <w:p w14:paraId="68B03BFA">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4.耗材临近失效期，采购人提前三个月向中标人提出更换，中标人须在耗材失效前一个月更换完毕，不得以任何理由进行推诿。</w:t>
      </w:r>
    </w:p>
    <w:p w14:paraId="266E4CF6">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5.中标人必须随货提供其具备医疗器械经营企业的有关合法有效的手续（包括但不限于）：</w:t>
      </w:r>
    </w:p>
    <w:p w14:paraId="05190936">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（1）产品所涉及逐级授权经销商的医疗器械生产（经营）许可证或生产（经营）企业备案表；</w:t>
      </w:r>
    </w:p>
    <w:p w14:paraId="606F2B14">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（2）医疗器械产品注册证或备案凭证；</w:t>
      </w:r>
    </w:p>
    <w:p w14:paraId="42C60E40">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（3）医疗器械生产企业许可证；</w:t>
      </w:r>
    </w:p>
    <w:p w14:paraId="4DD12254">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（4）经销商获得的委托授权书（逐级）；</w:t>
      </w:r>
    </w:p>
    <w:p w14:paraId="39A67B18">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（5）产品所涉及逐级授权经销商的企业法人营业执照。</w:t>
      </w:r>
    </w:p>
    <w:p w14:paraId="5C777E51">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（6）采购人要求提供的相关资料。</w:t>
      </w:r>
    </w:p>
    <w:p w14:paraId="7FFC0DC2">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bCs/>
          <w:color w:val="000000"/>
          <w:sz w:val="24"/>
          <w:szCs w:val="24"/>
          <w:lang w:val="en-US" w:eastAsia="zh-CN"/>
        </w:rPr>
      </w:pPr>
      <w:r>
        <w:rPr>
          <w:rFonts w:hint="eastAsia" w:ascii="仿宋" w:hAnsi="仿宋" w:eastAsia="仿宋" w:cs="仿宋"/>
          <w:b w:val="0"/>
          <w:bCs w:val="0"/>
          <w:color w:val="000000"/>
          <w:sz w:val="24"/>
          <w:szCs w:val="24"/>
          <w:lang w:val="en-US" w:eastAsia="zh-CN"/>
        </w:rPr>
        <w:t>6.合同有效期内，项目清单中产品凡是纳入网上集中采购医用耗材的，应在公示后10个工作日内以书面形式告知采购人，应按照四川省医疗保障局下发的《四川省医药机构医用耗材集中采购实施方案》要求进行挂网采购，且挂网采购价格不应高于联动参考价、该产品上月末全省医药机构最低采购价或采购成交价中的任一价格。经甲乙双方商议后，若因中标人或厂家原因无法按上述要求执行的，则采购人可以解除与中标人在成交合同中对该产品的采购相关约定。</w:t>
      </w:r>
    </w:p>
    <w:p w14:paraId="53AED1E6">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bCs/>
          <w:color w:val="000000"/>
          <w:sz w:val="24"/>
          <w:szCs w:val="24"/>
          <w:lang w:val="en-US" w:eastAsia="zh-CN"/>
        </w:rPr>
      </w:pPr>
      <w:r>
        <w:rPr>
          <w:rFonts w:hint="eastAsia" w:ascii="仿宋" w:hAnsi="仿宋" w:eastAsia="仿宋" w:cs="仿宋"/>
          <w:b/>
          <w:bCs/>
          <w:color w:val="000000"/>
          <w:sz w:val="24"/>
          <w:szCs w:val="24"/>
          <w:lang w:val="en-US" w:eastAsia="zh-CN"/>
        </w:rPr>
        <w:t xml:space="preserve">（六）包装和运输 </w:t>
      </w:r>
    </w:p>
    <w:p w14:paraId="2D2963DB">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val="0"/>
          <w:bCs/>
          <w:sz w:val="24"/>
          <w:szCs w:val="18"/>
          <w:lang w:eastAsia="zh-CN"/>
        </w:rPr>
      </w:pPr>
      <w:r>
        <w:rPr>
          <w:rFonts w:hint="eastAsia" w:ascii="仿宋" w:hAnsi="仿宋" w:eastAsia="仿宋" w:cs="仿宋"/>
          <w:b w:val="0"/>
          <w:bCs/>
          <w:sz w:val="24"/>
          <w:szCs w:val="18"/>
          <w:lang w:val="en-US" w:eastAsia="zh-CN"/>
        </w:rPr>
        <w:t xml:space="preserve">1.中标人须严格按照《商品包装政府采购需求标准(试行)》、《快递包装政府采购需 求标准(试行)》(财办库〔2020〕123 号)的要求进行产品及相关快递服务的包装。 </w:t>
      </w:r>
    </w:p>
    <w:p w14:paraId="68A6AC3A">
      <w:pPr>
        <w:pStyle w:val="14"/>
        <w:spacing w:line="360" w:lineRule="auto"/>
        <w:ind w:firstLine="240" w:firstLineChars="100"/>
        <w:jc w:val="left"/>
        <w:outlineLvl w:val="2"/>
        <w:rPr>
          <w:rFonts w:hint="eastAsia" w:ascii="仿宋" w:hAnsi="仿宋" w:eastAsia="仿宋" w:cs="仿宋"/>
          <w:b w:val="0"/>
          <w:bCs/>
          <w:sz w:val="24"/>
          <w:szCs w:val="18"/>
          <w:lang w:eastAsia="zh-CN"/>
        </w:rPr>
      </w:pPr>
      <w:r>
        <w:rPr>
          <w:rFonts w:hint="eastAsia" w:ascii="仿宋" w:hAnsi="仿宋" w:eastAsia="仿宋" w:cs="仿宋"/>
          <w:b w:val="0"/>
          <w:bCs/>
          <w:sz w:val="24"/>
          <w:szCs w:val="18"/>
          <w:lang w:val="en-US" w:eastAsia="zh-CN"/>
        </w:rPr>
        <w:t xml:space="preserve">2.中标人应当按照约定的方式交付标的物。对于包装方式没有约定或者约定不明确的，应当按照通用的方式包装；没有通用方式的，应当采取足以保护标的物且有利于节约资源，保护生态环境的包装方式。 </w:t>
      </w:r>
    </w:p>
    <w:p w14:paraId="233ED5C4">
      <w:pPr>
        <w:pStyle w:val="14"/>
        <w:spacing w:line="360" w:lineRule="auto"/>
        <w:ind w:firstLine="240" w:firstLineChars="100"/>
        <w:jc w:val="left"/>
        <w:outlineLvl w:val="2"/>
        <w:rPr>
          <w:rFonts w:hint="eastAsia" w:ascii="仿宋" w:hAnsi="仿宋" w:eastAsia="仿宋" w:cs="仿宋"/>
          <w:b w:val="0"/>
          <w:bCs/>
          <w:sz w:val="24"/>
          <w:szCs w:val="18"/>
          <w:lang w:eastAsia="zh-CN"/>
        </w:rPr>
      </w:pPr>
      <w:r>
        <w:rPr>
          <w:rFonts w:hint="eastAsia" w:ascii="仿宋" w:hAnsi="仿宋" w:eastAsia="仿宋" w:cs="仿宋"/>
          <w:b w:val="0"/>
          <w:bCs/>
          <w:sz w:val="24"/>
          <w:szCs w:val="18"/>
          <w:lang w:val="en-US" w:eastAsia="zh-CN"/>
        </w:rPr>
        <w:t>3.本次采购的标的物需要运输，中标人在合同约定的时间内将标的物运输至合同约定地点。</w:t>
      </w:r>
    </w:p>
    <w:p w14:paraId="311903A7">
      <w:pPr>
        <w:pStyle w:val="14"/>
        <w:jc w:val="left"/>
        <w:outlineLvl w:val="2"/>
        <w:rPr>
          <w:rFonts w:hint="eastAsia" w:ascii="仿宋" w:hAnsi="仿宋" w:eastAsia="仿宋" w:cs="仿宋"/>
        </w:rPr>
      </w:pPr>
      <w:r>
        <w:rPr>
          <w:rFonts w:hint="eastAsia" w:ascii="仿宋" w:hAnsi="仿宋" w:eastAsia="仿宋" w:cs="仿宋"/>
          <w:b/>
          <w:sz w:val="28"/>
          <w:lang w:eastAsia="zh-CN"/>
        </w:rPr>
        <w:t>五、</w:t>
      </w:r>
      <w:r>
        <w:rPr>
          <w:rFonts w:hint="eastAsia" w:ascii="仿宋" w:hAnsi="仿宋" w:eastAsia="仿宋" w:cs="仿宋"/>
          <w:b/>
          <w:sz w:val="28"/>
        </w:rPr>
        <w:t>其他要求</w:t>
      </w:r>
    </w:p>
    <w:p w14:paraId="524EC350">
      <w:pPr>
        <w:pStyle w:val="14"/>
        <w:spacing w:line="360" w:lineRule="auto"/>
        <w:ind w:firstLine="480"/>
        <w:jc w:val="left"/>
        <w:rPr>
          <w:rFonts w:hint="default" w:ascii="仿宋" w:hAnsi="仿宋" w:eastAsia="仿宋" w:cs="仿宋"/>
          <w:b/>
          <w:bCs/>
          <w:sz w:val="24"/>
          <w:szCs w:val="24"/>
          <w:lang w:val="en-US" w:eastAsia="zh-CN"/>
        </w:rPr>
      </w:pPr>
      <w:r>
        <w:rPr>
          <w:rFonts w:hint="eastAsia" w:ascii="仿宋" w:hAnsi="仿宋" w:eastAsia="仿宋" w:cs="仿宋"/>
          <w:b/>
          <w:bCs/>
          <w:sz w:val="24"/>
          <w:szCs w:val="24"/>
          <w:lang w:val="en-US" w:eastAsia="zh-CN"/>
        </w:rPr>
        <w:t>（一）</w:t>
      </w:r>
      <w:r>
        <w:rPr>
          <w:rFonts w:hint="default" w:ascii="仿宋" w:hAnsi="仿宋" w:eastAsia="仿宋" w:cs="仿宋"/>
          <w:b/>
          <w:bCs/>
          <w:sz w:val="24"/>
          <w:szCs w:val="24"/>
          <w:lang w:val="en-US" w:eastAsia="zh-CN"/>
        </w:rPr>
        <w:t>违约责任与解决争议的方法</w:t>
      </w:r>
    </w:p>
    <w:p w14:paraId="3DFEAF57">
      <w:pPr>
        <w:pStyle w:val="14"/>
        <w:spacing w:line="360" w:lineRule="auto"/>
        <w:ind w:firstLine="480"/>
        <w:jc w:val="left"/>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1.违约责任：</w:t>
      </w:r>
    </w:p>
    <w:p w14:paraId="5CB03D65">
      <w:pPr>
        <w:pStyle w:val="14"/>
        <w:spacing w:line="360" w:lineRule="auto"/>
        <w:ind w:firstLine="480"/>
        <w:jc w:val="left"/>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（1）中标人逾期15日内不能提供采购人所需医用耗材的，应向采购人每日支付该批次货款千分之三的违约金。</w:t>
      </w:r>
    </w:p>
    <w:p w14:paraId="5525CFBF">
      <w:pPr>
        <w:pStyle w:val="14"/>
        <w:spacing w:line="360" w:lineRule="auto"/>
        <w:ind w:firstLine="480"/>
        <w:jc w:val="left"/>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（2）中标人逾期15日及以上不能交付以上产品的，视同不能供货，须向采购人支付该批次货款的10%的违约金，同时采购人可以单方面解除采购合同。</w:t>
      </w:r>
    </w:p>
    <w:p w14:paraId="6DFD8B4D">
      <w:pPr>
        <w:pStyle w:val="14"/>
        <w:spacing w:line="360" w:lineRule="auto"/>
        <w:ind w:firstLine="480"/>
        <w:jc w:val="left"/>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（3）若因中标人原因造成采购人被监管部门通报三次及以上的或者造成采购人违规采购，采购人有权单方面解除采购合同。同时，采购人有权要求中标人支付该批货物价款20%的违约金。</w:t>
      </w:r>
    </w:p>
    <w:p w14:paraId="18617CD7">
      <w:pPr>
        <w:pStyle w:val="14"/>
        <w:spacing w:line="360" w:lineRule="auto"/>
        <w:ind w:firstLine="480"/>
        <w:jc w:val="left"/>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4）中标人销售的产品若发生严重医疗不良事件或被国家法定检测机构检测为不合格产品，视为中标人违约导致不能实现采购合同目的，采购人有权单方面解除采购合同，并要求中标人限期收回不合格产品，并要求中标人需承担合同价款20%的违约金，违约金不足以弥补采购人损失的，中标人还应当承补足。</w:t>
      </w:r>
    </w:p>
    <w:p w14:paraId="7A7BA98B">
      <w:pPr>
        <w:pStyle w:val="14"/>
        <w:spacing w:line="360" w:lineRule="auto"/>
        <w:ind w:firstLine="480"/>
        <w:jc w:val="left"/>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（5）即使产品已经验收入库（或安装调试完毕）后，采购人才发现产品为不合格产品的，也视为中标人违约，中标人应当承担本条约定的责任。同时采购人有权退回库存产品。</w:t>
      </w:r>
    </w:p>
    <w:p w14:paraId="086B5987">
      <w:pPr>
        <w:pStyle w:val="14"/>
        <w:spacing w:line="360" w:lineRule="auto"/>
        <w:ind w:firstLine="480"/>
        <w:jc w:val="left"/>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（6）若根据法律规定或本协议约定产生采购人退、换货或拒绝收货情形，由中标人承担退换货产生的各项税、费或其他支出。</w:t>
      </w:r>
    </w:p>
    <w:p w14:paraId="7A17307F">
      <w:pPr>
        <w:pStyle w:val="14"/>
        <w:spacing w:line="360" w:lineRule="auto"/>
        <w:ind w:firstLine="480"/>
        <w:jc w:val="left"/>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（7）中标人不能保证及时供货，除应当向采购人承担违约责任外，采购人仍有权单方面解除采购合同。</w:t>
      </w:r>
    </w:p>
    <w:p w14:paraId="7AB188D5">
      <w:pPr>
        <w:pStyle w:val="14"/>
        <w:spacing w:line="360" w:lineRule="auto"/>
        <w:ind w:firstLine="480"/>
        <w:jc w:val="left"/>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（8）因中标人提供的产品不合格造成采购人或第三人人身损害或财产损失的，由中标人承担赔偿责任。</w:t>
      </w:r>
    </w:p>
    <w:p w14:paraId="0295DA30">
      <w:pPr>
        <w:pStyle w:val="14"/>
        <w:spacing w:line="360" w:lineRule="auto"/>
        <w:ind w:firstLine="480"/>
        <w:jc w:val="left"/>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9）若因中标人原因造成采购人挂网执行存在问题以及线上支付不及时、造成采购人未挂网采购的或者存在其他问题的，中标人应承担违约责任，且采购人有权要求中标人支付该批货物价款20%的违约金，采购人有权单方面解除合同。</w:t>
      </w:r>
    </w:p>
    <w:p w14:paraId="7A17C9B7">
      <w:pPr>
        <w:pStyle w:val="14"/>
        <w:spacing w:line="360" w:lineRule="auto"/>
        <w:ind w:firstLine="480"/>
        <w:jc w:val="left"/>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2.解决合同纠纷的方式</w:t>
      </w:r>
    </w:p>
    <w:p w14:paraId="27806CF7">
      <w:pPr>
        <w:pStyle w:val="14"/>
        <w:spacing w:line="360" w:lineRule="auto"/>
        <w:ind w:firstLine="480"/>
        <w:jc w:val="left"/>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（1）因货物的质量问题发生的争议，由法定质量鉴定机构或其认可的质量鉴定机构进行质量鉴定。货物符合标准的，鉴定费由采购人承担；货物不符合质量标准的，鉴定费由中标人承担。</w:t>
      </w:r>
    </w:p>
    <w:p w14:paraId="60B4560B">
      <w:pPr>
        <w:pStyle w:val="14"/>
        <w:spacing w:line="360" w:lineRule="auto"/>
        <w:ind w:firstLine="480"/>
        <w:jc w:val="left"/>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（2）合同履行期间，若双方发生争议，可协商或由有关部门调解解决，协商或调解不成的，可向采购人所在地人民法院依法提起诉讼。</w:t>
      </w:r>
    </w:p>
    <w:p w14:paraId="7E136966">
      <w:pPr>
        <w:pStyle w:val="14"/>
        <w:spacing w:line="360" w:lineRule="auto"/>
        <w:ind w:firstLine="480"/>
        <w:jc w:val="left"/>
        <w:rPr>
          <w:rFonts w:hint="eastAsia" w:ascii="Times New Roman" w:hAnsi="Times New Roman" w:eastAsia="仿宋" w:cs="Times New Roman"/>
          <w:color w:val="auto"/>
          <w:sz w:val="24"/>
          <w:szCs w:val="24"/>
          <w:highlight w:val="none"/>
          <w:shd w:val="clear" w:color="auto" w:fill="auto"/>
          <w:lang w:val="en-US" w:eastAsia="zh-CN"/>
        </w:rPr>
      </w:pPr>
      <w:r>
        <w:rPr>
          <w:rFonts w:hint="eastAsia" w:ascii="仿宋" w:hAnsi="仿宋" w:eastAsia="仿宋" w:cs="仿宋"/>
          <w:b/>
          <w:bCs/>
          <w:sz w:val="24"/>
          <w:szCs w:val="24"/>
          <w:lang w:val="en-US" w:eastAsia="zh-CN"/>
        </w:rPr>
        <w:t>（二）</w:t>
      </w:r>
      <w:r>
        <w:rPr>
          <w:rFonts w:hint="default" w:ascii="Times New Roman" w:hAnsi="Times New Roman" w:eastAsia="仿宋" w:cs="Times New Roman"/>
          <w:b/>
          <w:bCs/>
          <w:color w:val="auto"/>
          <w:sz w:val="24"/>
          <w:szCs w:val="24"/>
          <w:highlight w:val="none"/>
          <w:shd w:val="clear" w:color="auto" w:fill="auto"/>
        </w:rPr>
        <w:t>履行期限</w:t>
      </w:r>
      <w:r>
        <w:rPr>
          <w:rFonts w:hint="eastAsia" w:ascii="Times New Roman" w:hAnsi="Times New Roman" w:eastAsia="仿宋" w:cs="Times New Roman"/>
          <w:b/>
          <w:bCs/>
          <w:color w:val="auto"/>
          <w:sz w:val="24"/>
          <w:szCs w:val="24"/>
          <w:highlight w:val="none"/>
          <w:shd w:val="clear" w:color="auto" w:fill="auto"/>
          <w:lang w:eastAsia="zh-CN"/>
        </w:rPr>
        <w:t>：</w:t>
      </w:r>
      <w:r>
        <w:rPr>
          <w:rFonts w:hint="eastAsia" w:ascii="仿宋" w:hAnsi="仿宋" w:eastAsia="仿宋" w:cs="仿宋"/>
          <w:color w:val="auto"/>
          <w:sz w:val="24"/>
          <w:szCs w:val="24"/>
          <w:highlight w:val="none"/>
          <w:shd w:val="clear" w:color="auto" w:fill="auto"/>
          <w:lang w:val="en-US" w:eastAsia="zh-CN"/>
        </w:rPr>
        <w:t>2年。</w:t>
      </w:r>
    </w:p>
    <w:p w14:paraId="067A5852">
      <w:pPr>
        <w:pStyle w:val="14"/>
        <w:spacing w:line="360" w:lineRule="auto"/>
        <w:ind w:firstLine="480"/>
        <w:jc w:val="left"/>
        <w:rPr>
          <w:rFonts w:hint="eastAsia" w:ascii="仿宋" w:hAnsi="仿宋" w:eastAsia="仿宋" w:cs="仿宋"/>
          <w:b w:val="0"/>
          <w:bCs w:val="0"/>
          <w:sz w:val="24"/>
          <w:szCs w:val="24"/>
          <w:lang w:val="en-US" w:eastAsia="zh-CN"/>
        </w:rPr>
      </w:pPr>
      <w:r>
        <w:rPr>
          <w:rFonts w:hint="eastAsia" w:ascii="仿宋" w:hAnsi="仿宋" w:eastAsia="仿宋" w:cs="仿宋"/>
          <w:b/>
          <w:bCs/>
          <w:sz w:val="24"/>
          <w:szCs w:val="24"/>
          <w:lang w:val="en-US" w:eastAsia="zh-CN"/>
        </w:rPr>
        <w:t>（三）支付方式：</w:t>
      </w:r>
      <w:r>
        <w:rPr>
          <w:rFonts w:hint="eastAsia" w:ascii="仿宋" w:hAnsi="仿宋" w:eastAsia="仿宋" w:cs="仿宋"/>
          <w:b w:val="0"/>
          <w:bCs w:val="0"/>
          <w:sz w:val="24"/>
          <w:szCs w:val="24"/>
          <w:lang w:val="en-US" w:eastAsia="zh-CN"/>
        </w:rPr>
        <w:t>双方协商确定。</w:t>
      </w:r>
    </w:p>
    <w:p w14:paraId="7700B645">
      <w:pPr>
        <w:pStyle w:val="14"/>
        <w:spacing w:line="360" w:lineRule="auto"/>
        <w:ind w:firstLine="480"/>
        <w:jc w:val="left"/>
        <w:rPr>
          <w:rFonts w:hint="default" w:ascii="仿宋" w:hAnsi="仿宋" w:eastAsia="仿宋" w:cs="仿宋"/>
          <w:b/>
          <w:bCs/>
          <w:sz w:val="24"/>
          <w:szCs w:val="24"/>
          <w:lang w:val="en-US" w:eastAsia="zh-CN"/>
        </w:rPr>
      </w:pPr>
      <w:r>
        <w:rPr>
          <w:rFonts w:hint="eastAsia" w:ascii="仿宋" w:hAnsi="仿宋" w:eastAsia="仿宋" w:cs="仿宋"/>
          <w:b/>
          <w:bCs/>
          <w:sz w:val="24"/>
          <w:szCs w:val="24"/>
          <w:lang w:val="en-US" w:eastAsia="zh-CN"/>
        </w:rPr>
        <w:t>（四）</w:t>
      </w:r>
      <w:r>
        <w:rPr>
          <w:rFonts w:hint="default" w:ascii="仿宋" w:hAnsi="仿宋" w:eastAsia="仿宋" w:cs="仿宋"/>
          <w:b/>
          <w:bCs/>
          <w:sz w:val="24"/>
          <w:szCs w:val="24"/>
          <w:lang w:val="en-US" w:eastAsia="zh-CN"/>
        </w:rPr>
        <w:t>履约验收程序</w:t>
      </w:r>
      <w:r>
        <w:rPr>
          <w:rFonts w:hint="eastAsia" w:ascii="仿宋" w:hAnsi="仿宋" w:eastAsia="仿宋" w:cs="仿宋"/>
          <w:b/>
          <w:bCs/>
          <w:sz w:val="24"/>
          <w:szCs w:val="24"/>
          <w:lang w:val="en-US" w:eastAsia="zh-CN"/>
        </w:rPr>
        <w:t>：</w:t>
      </w:r>
      <w:r>
        <w:rPr>
          <w:rFonts w:hint="eastAsia" w:ascii="仿宋" w:hAnsi="仿宋" w:eastAsia="仿宋" w:cs="仿宋"/>
          <w:b w:val="0"/>
          <w:bCs w:val="0"/>
          <w:sz w:val="24"/>
          <w:szCs w:val="24"/>
          <w:lang w:val="en-US" w:eastAsia="zh-CN"/>
        </w:rPr>
        <w:t>分批次验收。</w:t>
      </w:r>
    </w:p>
    <w:p w14:paraId="1F8E0A24">
      <w:pPr>
        <w:pStyle w:val="14"/>
        <w:spacing w:line="360" w:lineRule="auto"/>
        <w:ind w:firstLine="480"/>
        <w:jc w:val="left"/>
        <w:rPr>
          <w:rFonts w:hint="default" w:ascii="仿宋" w:hAnsi="仿宋" w:eastAsia="仿宋" w:cs="仿宋"/>
          <w:b w:val="0"/>
          <w:bCs w:val="0"/>
          <w:sz w:val="24"/>
          <w:szCs w:val="24"/>
          <w:lang w:val="en-US" w:eastAsia="zh-CN"/>
        </w:rPr>
      </w:pPr>
      <w:r>
        <w:rPr>
          <w:rFonts w:hint="eastAsia" w:ascii="仿宋" w:hAnsi="仿宋" w:eastAsia="仿宋" w:cs="仿宋"/>
          <w:b/>
          <w:bCs/>
          <w:sz w:val="24"/>
          <w:szCs w:val="24"/>
          <w:lang w:val="en-US" w:eastAsia="zh-CN"/>
        </w:rPr>
        <w:t>（五）</w:t>
      </w:r>
      <w:r>
        <w:rPr>
          <w:rFonts w:hint="default" w:ascii="仿宋" w:hAnsi="仿宋" w:eastAsia="仿宋" w:cs="仿宋"/>
          <w:b/>
          <w:bCs/>
          <w:sz w:val="24"/>
          <w:szCs w:val="24"/>
          <w:lang w:val="en-US" w:eastAsia="zh-CN"/>
        </w:rPr>
        <w:t>履约验收时间：</w:t>
      </w:r>
      <w:r>
        <w:rPr>
          <w:rFonts w:hint="default" w:ascii="仿宋" w:hAnsi="仿宋" w:eastAsia="仿宋" w:cs="仿宋"/>
          <w:b w:val="0"/>
          <w:bCs w:val="0"/>
          <w:sz w:val="24"/>
          <w:szCs w:val="24"/>
          <w:lang w:val="en-US" w:eastAsia="zh-CN"/>
        </w:rPr>
        <w:t>合同期限内，根据采购人要求分批次送货，完成送货、验收入库视为验收完成</w:t>
      </w:r>
      <w:r>
        <w:rPr>
          <w:rFonts w:hint="eastAsia" w:ascii="仿宋" w:hAnsi="仿宋" w:eastAsia="仿宋" w:cs="仿宋"/>
          <w:b w:val="0"/>
          <w:bCs w:val="0"/>
          <w:sz w:val="24"/>
          <w:szCs w:val="24"/>
          <w:lang w:val="en-US" w:eastAsia="zh-CN"/>
        </w:rPr>
        <w:t>。</w:t>
      </w:r>
    </w:p>
    <w:p w14:paraId="405D1652">
      <w:pPr>
        <w:rPr>
          <w:rFonts w:hint="default"/>
          <w:b/>
          <w:bCs/>
          <w:lang w:eastAsia="zh-CN"/>
        </w:rPr>
      </w:pPr>
      <w:bookmarkStart w:id="1" w:name="_GoBack"/>
      <w:bookmarkEnd w:id="1"/>
    </w:p>
    <w:sectPr>
      <w:pgSz w:w="11906" w:h="16838"/>
      <w:pgMar w:top="1440" w:right="1800" w:bottom="1440" w:left="1800" w:header="851" w:footer="992" w:gutter="0"/>
      <w:cols w:space="0" w:num="1"/>
      <w:rtlGutter w:val="0"/>
      <w:docGrid w:type="lines" w:linePitch="38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attachedTemplate r:id="rId1"/>
  <w:documentProtection w:enforcement="0"/>
  <w:defaultTabStop w:val="420"/>
  <w:drawingGridHorizontalSpacing w:val="210"/>
  <w:drawingGridVerticalSpacing w:val="194"/>
  <w:displayHorizontalDrawingGridEvery w:val="1"/>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M1MTVmYjZlMDQyYTYzOWYzYThjMjVkYWQ4YzhmOGEifQ=="/>
  </w:docVars>
  <w:rsids>
    <w:rsidRoot w:val="1AA24D9F"/>
    <w:rsid w:val="07011CC2"/>
    <w:rsid w:val="07644792"/>
    <w:rsid w:val="09284798"/>
    <w:rsid w:val="0F2B6FD9"/>
    <w:rsid w:val="119F03AE"/>
    <w:rsid w:val="183C240D"/>
    <w:rsid w:val="1AA24D9F"/>
    <w:rsid w:val="28DA2E89"/>
    <w:rsid w:val="2A4254F9"/>
    <w:rsid w:val="2D1F32F4"/>
    <w:rsid w:val="323B4D81"/>
    <w:rsid w:val="34B70380"/>
    <w:rsid w:val="3AE174A3"/>
    <w:rsid w:val="43446334"/>
    <w:rsid w:val="44A84E71"/>
    <w:rsid w:val="477DCE1E"/>
    <w:rsid w:val="573E1E21"/>
    <w:rsid w:val="5B487E91"/>
    <w:rsid w:val="5CF9550F"/>
    <w:rsid w:val="5EFEBDE8"/>
    <w:rsid w:val="68CA2609"/>
    <w:rsid w:val="68CC1AED"/>
    <w:rsid w:val="69BB0F42"/>
    <w:rsid w:val="6A637494"/>
    <w:rsid w:val="6BCF62E6"/>
    <w:rsid w:val="6CD3A16D"/>
    <w:rsid w:val="6D535020"/>
    <w:rsid w:val="6E5F49A6"/>
    <w:rsid w:val="6FFF37D2"/>
    <w:rsid w:val="70DE2EF1"/>
    <w:rsid w:val="7C5F4108"/>
    <w:rsid w:val="7F79C282"/>
    <w:rsid w:val="7F7B6CAE"/>
    <w:rsid w:val="7FBF6DD0"/>
    <w:rsid w:val="7FCD17FE"/>
    <w:rsid w:val="7FD7E9A0"/>
    <w:rsid w:val="7FE9FBB2"/>
    <w:rsid w:val="8FFFA67E"/>
    <w:rsid w:val="A97F623E"/>
    <w:rsid w:val="AFBF8780"/>
    <w:rsid w:val="BEEFCB4B"/>
    <w:rsid w:val="BFE6F841"/>
    <w:rsid w:val="D5DE8897"/>
    <w:rsid w:val="E7FE3684"/>
    <w:rsid w:val="EFFF70E4"/>
    <w:rsid w:val="F7EEC240"/>
    <w:rsid w:val="FBF75102"/>
    <w:rsid w:val="FDDC5620"/>
    <w:rsid w:val="FDEA700A"/>
    <w:rsid w:val="FFBFCE42"/>
  </w:rsids>
  <m:mathPr>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semiHidden="0" w:name="heading 6"/>
    <w:lsdException w:qFormat="1" w:uiPriority="0" w:semiHidden="0" w:name="heading 7"/>
    <w:lsdException w:qFormat="1" w:uiPriority="0" w:semiHidden="0" w:name="heading 8"/>
    <w:lsdException w:qFormat="1"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Arial" w:hAnsi="Arial" w:eastAsia="微软雅黑" w:cs="Times New Roman"/>
      <w:kern w:val="2"/>
      <w:sz w:val="21"/>
      <w:szCs w:val="24"/>
      <w:lang w:val="en-US" w:eastAsia="zh-CN" w:bidi="ar-SA"/>
    </w:rPr>
  </w:style>
  <w:style w:type="paragraph" w:styleId="2">
    <w:name w:val="heading 1"/>
    <w:basedOn w:val="1"/>
    <w:next w:val="1"/>
    <w:qFormat/>
    <w:uiPriority w:val="0"/>
    <w:pPr>
      <w:keepNext/>
      <w:keepLines/>
      <w:spacing w:before="260" w:beforeLines="0" w:beforeAutospacing="0" w:after="220" w:afterLines="0" w:afterAutospacing="0" w:line="240" w:lineRule="auto"/>
      <w:outlineLvl w:val="0"/>
    </w:pPr>
    <w:rPr>
      <w:rFonts w:ascii="Arial" w:hAnsi="Arial"/>
      <w:b/>
      <w:kern w:val="44"/>
      <w:sz w:val="36"/>
    </w:rPr>
  </w:style>
  <w:style w:type="paragraph" w:styleId="3">
    <w:name w:val="heading 2"/>
    <w:basedOn w:val="1"/>
    <w:next w:val="1"/>
    <w:unhideWhenUsed/>
    <w:qFormat/>
    <w:uiPriority w:val="0"/>
    <w:pPr>
      <w:keepNext/>
      <w:keepLines/>
      <w:spacing w:before="260" w:beforeLines="0" w:beforeAutospacing="0" w:after="200" w:afterLines="0" w:afterAutospacing="0" w:line="240" w:lineRule="auto"/>
      <w:outlineLvl w:val="1"/>
    </w:pPr>
    <w:rPr>
      <w:rFonts w:ascii="Arial" w:hAnsi="Arial"/>
      <w:b/>
      <w:sz w:val="32"/>
    </w:rPr>
  </w:style>
  <w:style w:type="paragraph" w:styleId="4">
    <w:name w:val="heading 3"/>
    <w:basedOn w:val="1"/>
    <w:next w:val="1"/>
    <w:unhideWhenUsed/>
    <w:qFormat/>
    <w:uiPriority w:val="0"/>
    <w:pPr>
      <w:keepNext/>
      <w:keepLines/>
      <w:spacing w:before="260" w:beforeLines="0" w:beforeAutospacing="0" w:after="180" w:afterLines="0" w:afterAutospacing="0" w:line="240" w:lineRule="auto"/>
      <w:outlineLvl w:val="2"/>
    </w:pPr>
    <w:rPr>
      <w:rFonts w:ascii="Arial" w:hAnsi="Arial"/>
      <w:b/>
      <w:sz w:val="30"/>
    </w:rPr>
  </w:style>
  <w:style w:type="paragraph" w:styleId="5">
    <w:name w:val="heading 4"/>
    <w:basedOn w:val="1"/>
    <w:next w:val="1"/>
    <w:unhideWhenUsed/>
    <w:qFormat/>
    <w:uiPriority w:val="0"/>
    <w:pPr>
      <w:keepNext/>
      <w:keepLines/>
      <w:spacing w:before="240" w:beforeLines="0" w:beforeAutospacing="0" w:after="160" w:afterLines="0" w:afterAutospacing="0" w:line="240" w:lineRule="auto"/>
      <w:outlineLvl w:val="3"/>
    </w:pPr>
    <w:rPr>
      <w:rFonts w:ascii="Arial" w:hAnsi="Arial"/>
      <w:b/>
      <w:sz w:val="28"/>
    </w:rPr>
  </w:style>
  <w:style w:type="paragraph" w:styleId="6">
    <w:name w:val="heading 5"/>
    <w:basedOn w:val="1"/>
    <w:next w:val="1"/>
    <w:unhideWhenUsed/>
    <w:qFormat/>
    <w:uiPriority w:val="0"/>
    <w:pPr>
      <w:keepNext/>
      <w:keepLines/>
      <w:spacing w:before="240" w:beforeLines="0" w:beforeAutospacing="0" w:after="160" w:afterLines="0" w:afterAutospacing="0" w:line="240" w:lineRule="auto"/>
      <w:outlineLvl w:val="4"/>
    </w:pPr>
    <w:rPr>
      <w:rFonts w:ascii="Arial" w:hAnsi="Arial"/>
      <w:b/>
      <w:sz w:val="28"/>
    </w:rPr>
  </w:style>
  <w:style w:type="paragraph" w:styleId="7">
    <w:name w:val="heading 6"/>
    <w:basedOn w:val="1"/>
    <w:next w:val="1"/>
    <w:unhideWhenUsed/>
    <w:qFormat/>
    <w:uiPriority w:val="0"/>
    <w:pPr>
      <w:keepNext/>
      <w:keepLines/>
      <w:spacing w:before="240" w:beforeLines="0" w:beforeAutospacing="0" w:after="120" w:afterLines="0" w:afterAutospacing="0" w:line="240" w:lineRule="auto"/>
      <w:outlineLvl w:val="5"/>
    </w:pPr>
    <w:rPr>
      <w:rFonts w:ascii="Arial" w:hAnsi="Arial"/>
      <w:b/>
      <w:sz w:val="24"/>
    </w:rPr>
  </w:style>
  <w:style w:type="paragraph" w:styleId="8">
    <w:name w:val="heading 7"/>
    <w:basedOn w:val="1"/>
    <w:next w:val="1"/>
    <w:unhideWhenUsed/>
    <w:qFormat/>
    <w:uiPriority w:val="0"/>
    <w:pPr>
      <w:keepNext/>
      <w:keepLines/>
      <w:spacing w:before="240" w:beforeLines="0" w:beforeAutospacing="0" w:after="120" w:afterLines="0" w:afterAutospacing="0" w:line="240" w:lineRule="auto"/>
      <w:outlineLvl w:val="6"/>
    </w:pPr>
    <w:rPr>
      <w:rFonts w:ascii="Arial" w:hAnsi="Arial"/>
      <w:b/>
      <w:sz w:val="24"/>
    </w:rPr>
  </w:style>
  <w:style w:type="paragraph" w:styleId="9">
    <w:name w:val="heading 8"/>
    <w:basedOn w:val="1"/>
    <w:next w:val="1"/>
    <w:unhideWhenUsed/>
    <w:qFormat/>
    <w:uiPriority w:val="0"/>
    <w:pPr>
      <w:keepNext/>
      <w:keepLines/>
      <w:spacing w:before="180" w:beforeLines="0" w:beforeAutospacing="0" w:after="64" w:afterLines="0" w:afterAutospacing="0" w:line="240" w:lineRule="auto"/>
      <w:outlineLvl w:val="7"/>
    </w:pPr>
    <w:rPr>
      <w:rFonts w:ascii="Arial" w:hAnsi="Arial"/>
      <w:sz w:val="24"/>
    </w:rPr>
  </w:style>
  <w:style w:type="paragraph" w:styleId="10">
    <w:name w:val="heading 9"/>
    <w:basedOn w:val="1"/>
    <w:next w:val="1"/>
    <w:unhideWhenUsed/>
    <w:qFormat/>
    <w:uiPriority w:val="0"/>
    <w:pPr>
      <w:keepNext/>
      <w:keepLines/>
      <w:spacing w:before="180" w:beforeLines="0" w:beforeAutospacing="0" w:after="64" w:afterLines="0" w:afterAutospacing="0" w:line="240" w:lineRule="auto"/>
      <w:outlineLvl w:val="8"/>
    </w:pPr>
    <w:rPr>
      <w:rFonts w:ascii="Arial" w:hAnsi="Arial"/>
    </w:rPr>
  </w:style>
  <w:style w:type="character" w:default="1" w:styleId="13">
    <w:name w:val="Default Paragraph Font"/>
    <w:qFormat/>
    <w:uiPriority w:val="0"/>
    <w:rPr>
      <w:rFonts w:eastAsia="微软雅黑" w:asciiTheme="minorAscii" w:hAnsiTheme="minorAscii"/>
    </w:rPr>
  </w:style>
  <w:style w:type="table" w:default="1" w:styleId="11">
    <w:name w:val="Normal Table"/>
    <w:semiHidden/>
    <w:qFormat/>
    <w:uiPriority w:val="0"/>
    <w:tblPr>
      <w:tblCellMar>
        <w:top w:w="0" w:type="dxa"/>
        <w:left w:w="108" w:type="dxa"/>
        <w:bottom w:w="0" w:type="dxa"/>
        <w:right w:w="108" w:type="dxa"/>
      </w:tblCellMar>
    </w:tblPr>
  </w:style>
  <w:style w:type="table" w:styleId="12">
    <w:name w:val="Table Grid"/>
    <w:basedOn w:val="11"/>
    <w:qFormat/>
    <w:uiPriority w:val="0"/>
    <w:pPr>
      <w:widowControl w:val="0"/>
      <w:jc w:val="both"/>
    </w:pPr>
    <w:rPr>
      <w:rFonts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4">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ata\weboffice\C:\data\weboffice\C:\data\weboffice\C:\data\weboffice\C:\data\weboffice\C:\data\weboffice\C:\Users\June\Library\Containers\com.kingsoft.wpsoffice.mac\Data\C:\data\weboffice\C:\home\ranpeng\C:\Users\53YFKM2\AppData\Roaming\Kingsoft\wps\addons\pool\win-i386\knewfileres_1.0.0.3\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7</Pages>
  <Words>0</Words>
  <Characters>0</Characters>
  <Lines>0</Lines>
  <Paragraphs>0</Paragraphs>
  <TotalTime>0</TotalTime>
  <ScaleCrop>false</ScaleCrop>
  <LinksUpToDate>false</LinksUpToDate>
  <CharactersWithSpaces>0</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2018-05-27T17:24:00Z</dcterms:created>
  <dc:creator>1</dc:creator>
  <cp:lastModifiedBy>耗奇害死猫</cp:lastModifiedBy>
  <dcterms:modified xsi:type="dcterms:W3CDTF">2025-01-09T07:48:10Z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woTemplateTypoMode" linkTarget="0">
    <vt:lpwstr/>
  </property>
  <property fmtid="{D5CDD505-2E9C-101B-9397-08002B2CF9AE}" pid="4" name="woTemplate" linkTarget="0">
    <vt:i4>0</vt:i4>
  </property>
  <property fmtid="{D5CDD505-2E9C-101B-9397-08002B2CF9AE}" pid="5" name="ICV">
    <vt:lpwstr>B37A1C2691F345CAAD4B7F5E6BDCE991_12</vt:lpwstr>
  </property>
</Properties>
</file>