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AAAECB">
      <w:pPr>
        <w:pStyle w:val="2"/>
        <w:bidi w:val="0"/>
        <w:rPr>
          <w:rFonts w:hint="eastAsia"/>
        </w:rPr>
      </w:pPr>
      <w:r>
        <w:rPr>
          <w:rFonts w:hint="eastAsia"/>
        </w:rPr>
        <w:t>技术、服务及其他要求</w:t>
      </w:r>
    </w:p>
    <w:p w14:paraId="10DE65F6">
      <w:pPr>
        <w:pStyle w:val="5"/>
        <w:ind w:firstLine="480"/>
        <w:jc w:val="left"/>
        <w:rPr>
          <w:rFonts w:hint="eastAsia" w:ascii="仿宋" w:hAnsi="仿宋" w:eastAsia="仿宋" w:cs="仿宋"/>
          <w:sz w:val="22"/>
          <w:szCs w:val="22"/>
          <w:highlight w:val="none"/>
        </w:rPr>
      </w:pPr>
      <w:r>
        <w:rPr>
          <w:rFonts w:hint="eastAsia" w:ascii="仿宋" w:hAnsi="仿宋" w:eastAsia="仿宋" w:cs="仿宋"/>
          <w:sz w:val="22"/>
          <w:szCs w:val="22"/>
        </w:rPr>
        <w:t>（注：本章的</w:t>
      </w:r>
      <w:r>
        <w:rPr>
          <w:rFonts w:hint="eastAsia" w:ascii="仿宋" w:hAnsi="仿宋" w:eastAsia="仿宋" w:cs="仿宋"/>
          <w:sz w:val="22"/>
          <w:szCs w:val="22"/>
          <w:highlight w:val="none"/>
        </w:rPr>
        <w:t>技术、服务及其他要求中，带“★”的要求为实质性要求。</w:t>
      </w:r>
      <w:r>
        <w:rPr>
          <w:rFonts w:hint="eastAsia" w:ascii="仿宋" w:hAnsi="仿宋" w:eastAsia="仿宋" w:cs="仿宋"/>
          <w:sz w:val="22"/>
          <w:szCs w:val="22"/>
          <w:highlight w:val="none"/>
          <w:lang w:eastAsia="zh-CN"/>
        </w:rPr>
        <w:t>采购人</w:t>
      </w:r>
      <w:r>
        <w:rPr>
          <w:rFonts w:hint="eastAsia" w:ascii="仿宋" w:hAnsi="仿宋" w:eastAsia="仿宋" w:cs="仿宋"/>
          <w:sz w:val="22"/>
          <w:szCs w:val="22"/>
          <w:highlight w:val="none"/>
        </w:rPr>
        <w:t>、代理机构应当根据项目实际要求合理设定，并在第五章符合性审查中明确响应要求。）</w:t>
      </w:r>
    </w:p>
    <w:p w14:paraId="7B6BCD6D">
      <w:pPr>
        <w:pStyle w:val="5"/>
        <w:jc w:val="left"/>
        <w:outlineLvl w:val="9"/>
        <w:rPr>
          <w:rFonts w:hint="eastAsia" w:ascii="仿宋" w:hAnsi="仿宋" w:eastAsia="仿宋" w:cs="仿宋"/>
          <w:b/>
          <w:sz w:val="28"/>
          <w:szCs w:val="28"/>
          <w:highlight w:val="none"/>
          <w:lang w:val="en-US" w:eastAsia="zh-CN"/>
        </w:rPr>
      </w:pPr>
      <w:r>
        <w:rPr>
          <w:rFonts w:hint="eastAsia" w:ascii="仿宋" w:hAnsi="仿宋" w:eastAsia="仿宋" w:cs="仿宋"/>
          <w:b/>
          <w:sz w:val="28"/>
          <w:szCs w:val="28"/>
          <w:highlight w:val="none"/>
        </w:rPr>
        <w:t>3.1.</w:t>
      </w:r>
      <w:r>
        <w:rPr>
          <w:rFonts w:hint="eastAsia" w:ascii="仿宋" w:hAnsi="仿宋" w:eastAsia="仿宋" w:cs="仿宋"/>
          <w:b/>
          <w:sz w:val="28"/>
          <w:szCs w:val="28"/>
          <w:highlight w:val="none"/>
          <w:lang w:val="en-US" w:eastAsia="zh-CN"/>
        </w:rPr>
        <w:t>标的情况</w:t>
      </w:r>
    </w:p>
    <w:tbl>
      <w:tblPr>
        <w:tblStyle w:val="3"/>
        <w:tblW w:w="10220"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73"/>
        <w:gridCol w:w="723"/>
        <w:gridCol w:w="1884"/>
        <w:gridCol w:w="1477"/>
        <w:gridCol w:w="1782"/>
        <w:gridCol w:w="1410"/>
        <w:gridCol w:w="1339"/>
        <w:gridCol w:w="932"/>
      </w:tblGrid>
      <w:tr w14:paraId="026D61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4" w:hRule="atLeast"/>
          <w:jc w:val="center"/>
        </w:trPr>
        <w:tc>
          <w:tcPr>
            <w:tcW w:w="673" w:type="dxa"/>
            <w:vAlign w:val="center"/>
          </w:tcPr>
          <w:p w14:paraId="0F880D82">
            <w:pPr>
              <w:pStyle w:val="5"/>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序号</w:t>
            </w:r>
          </w:p>
        </w:tc>
        <w:tc>
          <w:tcPr>
            <w:tcW w:w="723" w:type="dxa"/>
            <w:vAlign w:val="center"/>
          </w:tcPr>
          <w:p w14:paraId="32724612">
            <w:pPr>
              <w:pStyle w:val="5"/>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编号</w:t>
            </w:r>
          </w:p>
        </w:tc>
        <w:tc>
          <w:tcPr>
            <w:tcW w:w="1884" w:type="dxa"/>
            <w:vAlign w:val="center"/>
          </w:tcPr>
          <w:p w14:paraId="794D5BA5">
            <w:pPr>
              <w:pStyle w:val="5"/>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标的名称</w:t>
            </w:r>
          </w:p>
        </w:tc>
        <w:tc>
          <w:tcPr>
            <w:tcW w:w="1477" w:type="dxa"/>
            <w:vAlign w:val="center"/>
          </w:tcPr>
          <w:p w14:paraId="1D643E93">
            <w:pPr>
              <w:pStyle w:val="5"/>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★单价（元）</w:t>
            </w:r>
          </w:p>
        </w:tc>
        <w:tc>
          <w:tcPr>
            <w:tcW w:w="1782" w:type="dxa"/>
            <w:vAlign w:val="center"/>
          </w:tcPr>
          <w:p w14:paraId="3217CC79">
            <w:pPr>
              <w:pStyle w:val="5"/>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预计年使用</w:t>
            </w:r>
            <w:r>
              <w:rPr>
                <w:rFonts w:hint="default" w:ascii="仿宋" w:hAnsi="仿宋" w:eastAsia="仿宋" w:cs="仿宋"/>
                <w:b/>
                <w:bCs/>
                <w:sz w:val="22"/>
                <w:szCs w:val="22"/>
                <w:lang w:val="en-US" w:eastAsia="zh-CN"/>
              </w:rPr>
              <w:t>数量</w:t>
            </w:r>
          </w:p>
        </w:tc>
        <w:tc>
          <w:tcPr>
            <w:tcW w:w="1410" w:type="dxa"/>
            <w:vAlign w:val="center"/>
          </w:tcPr>
          <w:p w14:paraId="3CF7A6E0">
            <w:pPr>
              <w:pStyle w:val="5"/>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★计量单位</w:t>
            </w:r>
          </w:p>
        </w:tc>
        <w:tc>
          <w:tcPr>
            <w:tcW w:w="1339" w:type="dxa"/>
            <w:vAlign w:val="center"/>
          </w:tcPr>
          <w:p w14:paraId="29A1E6E7">
            <w:pPr>
              <w:pStyle w:val="5"/>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★标的金额（元）</w:t>
            </w:r>
          </w:p>
        </w:tc>
        <w:tc>
          <w:tcPr>
            <w:tcW w:w="932" w:type="dxa"/>
            <w:vAlign w:val="center"/>
          </w:tcPr>
          <w:p w14:paraId="670B2EC0">
            <w:pPr>
              <w:pStyle w:val="5"/>
              <w:jc w:val="center"/>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包号</w:t>
            </w:r>
          </w:p>
        </w:tc>
      </w:tr>
      <w:tr w14:paraId="4D946F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73" w:type="dxa"/>
            <w:vAlign w:val="center"/>
          </w:tcPr>
          <w:p w14:paraId="484CC4F1">
            <w:pPr>
              <w:pStyle w:val="5"/>
              <w:jc w:val="center"/>
              <w:rPr>
                <w:rFonts w:hint="eastAsia" w:ascii="仿宋" w:hAnsi="仿宋" w:eastAsia="仿宋" w:cs="仿宋"/>
                <w:sz w:val="22"/>
                <w:szCs w:val="22"/>
                <w:lang w:val="en-US" w:eastAsia="zh-CN"/>
              </w:rPr>
            </w:pPr>
            <w:r>
              <w:rPr>
                <w:rFonts w:hint="default" w:ascii="仿宋" w:hAnsi="仿宋" w:eastAsia="仿宋" w:cs="仿宋"/>
                <w:sz w:val="22"/>
                <w:szCs w:val="22"/>
                <w:lang w:val="en-US" w:eastAsia="zh-CN"/>
              </w:rPr>
              <w:t>1</w:t>
            </w:r>
          </w:p>
        </w:tc>
        <w:tc>
          <w:tcPr>
            <w:tcW w:w="723" w:type="dxa"/>
            <w:vAlign w:val="center"/>
          </w:tcPr>
          <w:p w14:paraId="2797DC6D">
            <w:pPr>
              <w:pStyle w:val="5"/>
              <w:jc w:val="center"/>
              <w:rPr>
                <w:rFonts w:hint="eastAsia" w:ascii="仿宋" w:hAnsi="仿宋" w:eastAsia="仿宋" w:cs="仿宋"/>
                <w:sz w:val="22"/>
                <w:szCs w:val="22"/>
                <w:lang w:val="en-US" w:eastAsia="zh-CN"/>
              </w:rPr>
            </w:pPr>
            <w:r>
              <w:rPr>
                <w:rFonts w:hint="default" w:ascii="仿宋" w:hAnsi="仿宋" w:eastAsia="仿宋" w:cs="仿宋"/>
                <w:sz w:val="22"/>
                <w:szCs w:val="22"/>
                <w:lang w:val="en-US" w:eastAsia="zh-CN"/>
              </w:rPr>
              <w:t>1-1</w:t>
            </w:r>
          </w:p>
        </w:tc>
        <w:tc>
          <w:tcPr>
            <w:tcW w:w="1884" w:type="dxa"/>
            <w:vAlign w:val="center"/>
          </w:tcPr>
          <w:p w14:paraId="20F19EB1">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一次性中心静脉导管包（单腔）</w:t>
            </w:r>
          </w:p>
        </w:tc>
        <w:tc>
          <w:tcPr>
            <w:tcW w:w="1477" w:type="dxa"/>
            <w:vAlign w:val="center"/>
          </w:tcPr>
          <w:p w14:paraId="6EA4A03C">
            <w:pPr>
              <w:pStyle w:val="5"/>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80.00</w:t>
            </w:r>
          </w:p>
        </w:tc>
        <w:tc>
          <w:tcPr>
            <w:tcW w:w="1782" w:type="dxa"/>
            <w:vAlign w:val="center"/>
          </w:tcPr>
          <w:p w14:paraId="00153007">
            <w:pPr>
              <w:pStyle w:val="5"/>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按计划</w:t>
            </w:r>
          </w:p>
        </w:tc>
        <w:tc>
          <w:tcPr>
            <w:tcW w:w="1410" w:type="dxa"/>
            <w:vAlign w:val="center"/>
          </w:tcPr>
          <w:p w14:paraId="1335326F">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套</w:t>
            </w:r>
          </w:p>
        </w:tc>
        <w:tc>
          <w:tcPr>
            <w:tcW w:w="1339" w:type="dxa"/>
            <w:vAlign w:val="center"/>
          </w:tcPr>
          <w:p w14:paraId="49F8BE2C">
            <w:pPr>
              <w:pStyle w:val="5"/>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据实结算</w:t>
            </w:r>
          </w:p>
        </w:tc>
        <w:tc>
          <w:tcPr>
            <w:tcW w:w="932" w:type="dxa"/>
            <w:vAlign w:val="center"/>
          </w:tcPr>
          <w:p w14:paraId="1510650A">
            <w:pPr>
              <w:pStyle w:val="5"/>
              <w:jc w:val="center"/>
              <w:rPr>
                <w:rFonts w:hint="default" w:ascii="仿宋" w:hAnsi="仿宋" w:eastAsia="仿宋" w:cs="仿宋"/>
                <w:sz w:val="22"/>
                <w:szCs w:val="22"/>
                <w:u w:val="none"/>
                <w:lang w:val="en-US" w:eastAsia="zh-CN"/>
              </w:rPr>
            </w:pPr>
            <w:r>
              <w:rPr>
                <w:rFonts w:hint="eastAsia" w:ascii="仿宋" w:hAnsi="仿宋" w:eastAsia="仿宋" w:cs="仿宋"/>
                <w:sz w:val="22"/>
                <w:szCs w:val="22"/>
                <w:u w:val="none"/>
                <w:lang w:val="en-US" w:eastAsia="zh-CN"/>
              </w:rPr>
              <w:t>第一包</w:t>
            </w:r>
          </w:p>
        </w:tc>
      </w:tr>
      <w:tr w14:paraId="61016B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73" w:type="dxa"/>
            <w:vAlign w:val="center"/>
          </w:tcPr>
          <w:p w14:paraId="3987D5DF">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2</w:t>
            </w:r>
          </w:p>
        </w:tc>
        <w:tc>
          <w:tcPr>
            <w:tcW w:w="723" w:type="dxa"/>
            <w:vAlign w:val="center"/>
          </w:tcPr>
          <w:p w14:paraId="099214BF">
            <w:pPr>
              <w:pStyle w:val="5"/>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2-1</w:t>
            </w:r>
          </w:p>
        </w:tc>
        <w:tc>
          <w:tcPr>
            <w:tcW w:w="1884" w:type="dxa"/>
            <w:vAlign w:val="center"/>
          </w:tcPr>
          <w:p w14:paraId="212CC3DD">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一次性中心静脉导管包（双腔）</w:t>
            </w:r>
          </w:p>
        </w:tc>
        <w:tc>
          <w:tcPr>
            <w:tcW w:w="1477" w:type="dxa"/>
            <w:vAlign w:val="center"/>
          </w:tcPr>
          <w:p w14:paraId="60CA20ED">
            <w:pPr>
              <w:pStyle w:val="5"/>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147.53</w:t>
            </w:r>
          </w:p>
        </w:tc>
        <w:tc>
          <w:tcPr>
            <w:tcW w:w="1782" w:type="dxa"/>
            <w:vAlign w:val="center"/>
          </w:tcPr>
          <w:p w14:paraId="60ECBC26">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按计划</w:t>
            </w:r>
          </w:p>
        </w:tc>
        <w:tc>
          <w:tcPr>
            <w:tcW w:w="1410" w:type="dxa"/>
            <w:vAlign w:val="center"/>
          </w:tcPr>
          <w:p w14:paraId="126562F5">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套</w:t>
            </w:r>
          </w:p>
        </w:tc>
        <w:tc>
          <w:tcPr>
            <w:tcW w:w="1339" w:type="dxa"/>
            <w:vAlign w:val="center"/>
          </w:tcPr>
          <w:p w14:paraId="171ABAC7">
            <w:pPr>
              <w:pStyle w:val="5"/>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据实结算</w:t>
            </w:r>
          </w:p>
        </w:tc>
        <w:tc>
          <w:tcPr>
            <w:tcW w:w="932" w:type="dxa"/>
            <w:vAlign w:val="center"/>
          </w:tcPr>
          <w:p w14:paraId="4396301C">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第二包</w:t>
            </w:r>
          </w:p>
        </w:tc>
      </w:tr>
      <w:tr w14:paraId="17F81A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73" w:type="dxa"/>
            <w:vAlign w:val="center"/>
          </w:tcPr>
          <w:p w14:paraId="41E19C99">
            <w:pPr>
              <w:pStyle w:val="5"/>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3</w:t>
            </w:r>
          </w:p>
        </w:tc>
        <w:tc>
          <w:tcPr>
            <w:tcW w:w="723" w:type="dxa"/>
            <w:vAlign w:val="center"/>
          </w:tcPr>
          <w:p w14:paraId="4E9F31F2">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3-1</w:t>
            </w:r>
          </w:p>
        </w:tc>
        <w:tc>
          <w:tcPr>
            <w:tcW w:w="1884" w:type="dxa"/>
            <w:vAlign w:val="center"/>
          </w:tcPr>
          <w:p w14:paraId="048348C7">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一次性中心静脉导管包（三腔）</w:t>
            </w:r>
          </w:p>
        </w:tc>
        <w:tc>
          <w:tcPr>
            <w:tcW w:w="1477" w:type="dxa"/>
            <w:vAlign w:val="center"/>
          </w:tcPr>
          <w:p w14:paraId="01FBBB1F">
            <w:pPr>
              <w:pStyle w:val="5"/>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168.00</w:t>
            </w:r>
          </w:p>
        </w:tc>
        <w:tc>
          <w:tcPr>
            <w:tcW w:w="1782" w:type="dxa"/>
            <w:vAlign w:val="center"/>
          </w:tcPr>
          <w:p w14:paraId="0901AD45">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按计划</w:t>
            </w:r>
          </w:p>
        </w:tc>
        <w:tc>
          <w:tcPr>
            <w:tcW w:w="1410" w:type="dxa"/>
            <w:vAlign w:val="center"/>
          </w:tcPr>
          <w:p w14:paraId="73F84236">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套</w:t>
            </w:r>
          </w:p>
        </w:tc>
        <w:tc>
          <w:tcPr>
            <w:tcW w:w="1339" w:type="dxa"/>
            <w:vAlign w:val="center"/>
          </w:tcPr>
          <w:p w14:paraId="2369B0C8">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据实结算</w:t>
            </w:r>
          </w:p>
        </w:tc>
        <w:tc>
          <w:tcPr>
            <w:tcW w:w="932" w:type="dxa"/>
            <w:vAlign w:val="center"/>
          </w:tcPr>
          <w:p w14:paraId="1D287BB0">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第三包</w:t>
            </w:r>
          </w:p>
        </w:tc>
      </w:tr>
    </w:tbl>
    <w:p w14:paraId="5D0E9439">
      <w:pPr>
        <w:pStyle w:val="5"/>
        <w:ind w:firstLine="480"/>
        <w:jc w:val="left"/>
        <w:rPr>
          <w:rFonts w:hint="eastAsia" w:ascii="仿宋" w:hAnsi="仿宋" w:eastAsia="仿宋" w:cs="仿宋"/>
          <w:b/>
          <w:sz w:val="22"/>
          <w:szCs w:val="22"/>
          <w:highlight w:val="none"/>
        </w:rPr>
      </w:pPr>
      <w:r>
        <w:rPr>
          <w:rFonts w:hint="eastAsia" w:ascii="仿宋" w:hAnsi="仿宋" w:eastAsia="仿宋" w:cs="仿宋"/>
          <w:sz w:val="22"/>
          <w:szCs w:val="22"/>
          <w:highlight w:val="none"/>
        </w:rPr>
        <w:t>★注：</w:t>
      </w:r>
      <w:r>
        <w:rPr>
          <w:rFonts w:hint="eastAsia" w:ascii="仿宋" w:hAnsi="仿宋" w:eastAsia="仿宋" w:cs="仿宋"/>
          <w:sz w:val="22"/>
          <w:szCs w:val="22"/>
          <w:highlight w:val="none"/>
          <w:lang w:eastAsia="zh-CN"/>
        </w:rPr>
        <w:t>供应商</w:t>
      </w:r>
      <w:r>
        <w:rPr>
          <w:rFonts w:hint="eastAsia" w:ascii="仿宋" w:hAnsi="仿宋" w:eastAsia="仿宋" w:cs="仿宋"/>
          <w:sz w:val="22"/>
          <w:szCs w:val="22"/>
          <w:highlight w:val="none"/>
        </w:rPr>
        <w:t>响应产品应当明确品牌和规格型号并指向唯一产品，不能指向唯一产品的，应通过报价表唯一产品说明栏补充说明。</w:t>
      </w:r>
    </w:p>
    <w:p w14:paraId="4B7445EF">
      <w:pPr>
        <w:pStyle w:val="5"/>
        <w:jc w:val="left"/>
        <w:outlineLvl w:val="9"/>
        <w:rPr>
          <w:rFonts w:hint="eastAsia" w:ascii="仿宋" w:hAnsi="仿宋" w:eastAsia="仿宋" w:cs="仿宋"/>
          <w:b/>
          <w:sz w:val="28"/>
          <w:highlight w:val="none"/>
        </w:rPr>
      </w:pPr>
      <w:r>
        <w:rPr>
          <w:rFonts w:hint="eastAsia" w:ascii="仿宋" w:hAnsi="仿宋" w:eastAsia="仿宋" w:cs="仿宋"/>
          <w:b/>
          <w:sz w:val="28"/>
          <w:highlight w:val="none"/>
        </w:rPr>
        <w:t>3.2.技术要求</w:t>
      </w:r>
    </w:p>
    <w:tbl>
      <w:tblPr>
        <w:tblStyle w:val="3"/>
        <w:tblW w:w="955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73"/>
        <w:gridCol w:w="620"/>
        <w:gridCol w:w="861"/>
        <w:gridCol w:w="1396"/>
        <w:gridCol w:w="2233"/>
        <w:gridCol w:w="3975"/>
      </w:tblGrid>
      <w:tr w14:paraId="090E61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54" w:hRule="atLeast"/>
        </w:trPr>
        <w:tc>
          <w:tcPr>
            <w:tcW w:w="473" w:type="dxa"/>
            <w:vAlign w:val="center"/>
          </w:tcPr>
          <w:p w14:paraId="2D69E289">
            <w:pPr>
              <w:pStyle w:val="5"/>
              <w:jc w:val="center"/>
              <w:rPr>
                <w:rFonts w:hint="eastAsia" w:ascii="仿宋" w:hAnsi="仿宋" w:eastAsia="仿宋" w:cs="仿宋"/>
                <w:sz w:val="22"/>
                <w:szCs w:val="22"/>
              </w:rPr>
            </w:pPr>
            <w:r>
              <w:rPr>
                <w:rFonts w:hint="eastAsia" w:ascii="仿宋" w:hAnsi="仿宋" w:eastAsia="仿宋" w:cs="仿宋"/>
                <w:sz w:val="22"/>
                <w:szCs w:val="22"/>
              </w:rPr>
              <w:t>序号</w:t>
            </w:r>
          </w:p>
        </w:tc>
        <w:tc>
          <w:tcPr>
            <w:tcW w:w="620" w:type="dxa"/>
            <w:vAlign w:val="center"/>
          </w:tcPr>
          <w:p w14:paraId="53A0BA8A">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包号</w:t>
            </w:r>
          </w:p>
        </w:tc>
        <w:tc>
          <w:tcPr>
            <w:tcW w:w="861" w:type="dxa"/>
            <w:vAlign w:val="center"/>
          </w:tcPr>
          <w:p w14:paraId="2597D054">
            <w:pPr>
              <w:pStyle w:val="5"/>
              <w:jc w:val="center"/>
              <w:rPr>
                <w:rFonts w:hint="eastAsia" w:ascii="仿宋" w:hAnsi="仿宋" w:eastAsia="仿宋" w:cs="仿宋"/>
                <w:sz w:val="22"/>
                <w:szCs w:val="22"/>
              </w:rPr>
            </w:pPr>
            <w:r>
              <w:rPr>
                <w:rFonts w:hint="eastAsia" w:ascii="仿宋" w:hAnsi="仿宋" w:eastAsia="仿宋" w:cs="仿宋"/>
                <w:sz w:val="22"/>
                <w:szCs w:val="22"/>
                <w:lang w:val="en-US" w:eastAsia="zh-CN"/>
              </w:rPr>
              <w:t>名称</w:t>
            </w:r>
          </w:p>
        </w:tc>
        <w:tc>
          <w:tcPr>
            <w:tcW w:w="1396" w:type="dxa"/>
            <w:vAlign w:val="center"/>
          </w:tcPr>
          <w:p w14:paraId="7555B382">
            <w:pPr>
              <w:pStyle w:val="5"/>
              <w:jc w:val="center"/>
              <w:rPr>
                <w:rFonts w:hint="eastAsia" w:ascii="仿宋" w:hAnsi="仿宋" w:eastAsia="仿宋" w:cs="仿宋"/>
                <w:sz w:val="22"/>
                <w:szCs w:val="22"/>
              </w:rPr>
            </w:pPr>
            <w:r>
              <w:rPr>
                <w:rFonts w:hint="eastAsia" w:ascii="仿宋" w:hAnsi="仿宋" w:eastAsia="仿宋" w:cs="仿宋"/>
                <w:sz w:val="22"/>
                <w:szCs w:val="22"/>
              </w:rPr>
              <w:t>★</w:t>
            </w:r>
            <w:r>
              <w:rPr>
                <w:rFonts w:hint="eastAsia" w:ascii="仿宋" w:hAnsi="仿宋" w:eastAsia="仿宋" w:cs="仿宋"/>
                <w:sz w:val="22"/>
                <w:szCs w:val="22"/>
                <w:lang w:val="en-US" w:eastAsia="zh-CN"/>
              </w:rPr>
              <w:t>医保耗材代码</w:t>
            </w:r>
          </w:p>
        </w:tc>
        <w:tc>
          <w:tcPr>
            <w:tcW w:w="2233" w:type="dxa"/>
            <w:vAlign w:val="center"/>
          </w:tcPr>
          <w:p w14:paraId="091070E9">
            <w:pPr>
              <w:pStyle w:val="5"/>
              <w:jc w:val="center"/>
              <w:rPr>
                <w:rFonts w:hint="eastAsia" w:ascii="仿宋" w:hAnsi="仿宋" w:eastAsia="仿宋" w:cs="仿宋"/>
                <w:sz w:val="22"/>
                <w:szCs w:val="22"/>
              </w:rPr>
            </w:pPr>
            <w:r>
              <w:rPr>
                <w:rFonts w:hint="eastAsia" w:ascii="仿宋" w:hAnsi="仿宋" w:eastAsia="仿宋" w:cs="仿宋"/>
                <w:sz w:val="22"/>
                <w:szCs w:val="22"/>
              </w:rPr>
              <w:t>★</w:t>
            </w:r>
            <w:r>
              <w:rPr>
                <w:rFonts w:hint="eastAsia" w:ascii="仿宋" w:hAnsi="仿宋" w:eastAsia="仿宋" w:cs="仿宋"/>
                <w:sz w:val="22"/>
                <w:szCs w:val="22"/>
                <w:lang w:val="en-US" w:eastAsia="zh-CN"/>
              </w:rPr>
              <w:t>用途及适应症</w:t>
            </w:r>
          </w:p>
        </w:tc>
        <w:tc>
          <w:tcPr>
            <w:tcW w:w="3975" w:type="dxa"/>
            <w:vAlign w:val="center"/>
          </w:tcPr>
          <w:p w14:paraId="03567DC2">
            <w:pPr>
              <w:pStyle w:val="5"/>
              <w:jc w:val="center"/>
              <w:rPr>
                <w:rFonts w:hint="eastAsia" w:ascii="仿宋" w:hAnsi="仿宋" w:eastAsia="仿宋" w:cs="仿宋"/>
                <w:sz w:val="22"/>
                <w:szCs w:val="22"/>
              </w:rPr>
            </w:pPr>
            <w:r>
              <w:rPr>
                <w:rFonts w:hint="eastAsia" w:ascii="楷体" w:hAnsi="楷体" w:eastAsia="楷体" w:cs="楷体"/>
                <w:b w:val="0"/>
                <w:bCs w:val="0"/>
                <w:sz w:val="24"/>
                <w:szCs w:val="24"/>
                <w:lang w:val="en-US" w:eastAsia="zh-CN"/>
              </w:rPr>
              <w:t>参考配置及型号</w:t>
            </w:r>
          </w:p>
        </w:tc>
      </w:tr>
      <w:tr w14:paraId="66056F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300" w:hRule="atLeast"/>
        </w:trPr>
        <w:tc>
          <w:tcPr>
            <w:tcW w:w="473" w:type="dxa"/>
            <w:vAlign w:val="center"/>
          </w:tcPr>
          <w:p w14:paraId="031DD110">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w:t>
            </w:r>
          </w:p>
        </w:tc>
        <w:tc>
          <w:tcPr>
            <w:tcW w:w="620" w:type="dxa"/>
            <w:vAlign w:val="center"/>
          </w:tcPr>
          <w:p w14:paraId="049436BC">
            <w:pPr>
              <w:pStyle w:val="5"/>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1</w:t>
            </w:r>
          </w:p>
        </w:tc>
        <w:tc>
          <w:tcPr>
            <w:tcW w:w="861" w:type="dxa"/>
            <w:vAlign w:val="center"/>
          </w:tcPr>
          <w:p w14:paraId="0EA4E6F5">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一次性中心静脉导管包（单腔）</w:t>
            </w:r>
          </w:p>
        </w:tc>
        <w:tc>
          <w:tcPr>
            <w:tcW w:w="1396" w:type="dxa"/>
            <w:vAlign w:val="center"/>
          </w:tcPr>
          <w:p w14:paraId="1687F8A6">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C020703004</w:t>
            </w:r>
          </w:p>
        </w:tc>
        <w:tc>
          <w:tcPr>
            <w:tcW w:w="2233" w:type="dxa"/>
            <w:vAlign w:val="center"/>
          </w:tcPr>
          <w:p w14:paraId="560A9EBE">
            <w:pPr>
              <w:pStyle w:val="5"/>
              <w:ind w:firstLine="440" w:firstLineChars="200"/>
              <w:jc w:val="both"/>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单腔型。适用于测量中心静脉压力、输液、静脉营养治疗、采集血液样本、以及注入药物、需要血流动力学监测的重症患者或溶液、需要输注有刺激性、腐蚀性或高渗性药液、需要为快速容量复苏提供充分保障、危重、急诊、择期大手术需长期治疗输液患者。</w:t>
            </w:r>
          </w:p>
        </w:tc>
        <w:tc>
          <w:tcPr>
            <w:tcW w:w="3975" w:type="dxa"/>
            <w:vAlign w:val="center"/>
          </w:tcPr>
          <w:p w14:paraId="7A5443D7">
            <w:pPr>
              <w:pStyle w:val="5"/>
              <w:ind w:firstLine="440" w:firstLineChars="200"/>
              <w:jc w:val="both"/>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一次性使用中心静脉导管、一次性使用导引导丝、一次性经皮穿刺用针、一次性使用无菌注射器*2、一次性使用无菌注射针*2、一次性使用手术刀、固定夹、蓝针管、Y形连接器、扩张管、输液接头（肝素帽）、消毒刷*3、纱布块*4、棉球*2、灭菌橡胶外科手套、敷料巾、手术巾、医用脱脂纱布叠片、缝合针（直针、弯针）线、创口贴、医用贴膜（医用愈肤膜）、吸塑药盒、吸塑托盘组成。参考型号：16G-20cm。</w:t>
            </w:r>
          </w:p>
        </w:tc>
      </w:tr>
      <w:tr w14:paraId="180C0A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751" w:hRule="atLeast"/>
        </w:trPr>
        <w:tc>
          <w:tcPr>
            <w:tcW w:w="473" w:type="dxa"/>
            <w:vAlign w:val="center"/>
          </w:tcPr>
          <w:p w14:paraId="43CE5093">
            <w:pPr>
              <w:pStyle w:val="5"/>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2</w:t>
            </w:r>
          </w:p>
        </w:tc>
        <w:tc>
          <w:tcPr>
            <w:tcW w:w="620" w:type="dxa"/>
            <w:vAlign w:val="center"/>
          </w:tcPr>
          <w:p w14:paraId="75455E84">
            <w:pPr>
              <w:pStyle w:val="5"/>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2</w:t>
            </w:r>
          </w:p>
        </w:tc>
        <w:tc>
          <w:tcPr>
            <w:tcW w:w="861" w:type="dxa"/>
            <w:vAlign w:val="center"/>
          </w:tcPr>
          <w:p w14:paraId="6B765A53">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一次性中心静脉导管包（双腔）</w:t>
            </w:r>
          </w:p>
        </w:tc>
        <w:tc>
          <w:tcPr>
            <w:tcW w:w="1396" w:type="dxa"/>
            <w:vAlign w:val="center"/>
          </w:tcPr>
          <w:p w14:paraId="088A7A84">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C020703004</w:t>
            </w:r>
          </w:p>
        </w:tc>
        <w:tc>
          <w:tcPr>
            <w:tcW w:w="2233" w:type="dxa"/>
            <w:vAlign w:val="center"/>
          </w:tcPr>
          <w:p w14:paraId="445BDCDE">
            <w:pPr>
              <w:pStyle w:val="5"/>
              <w:ind w:firstLine="440" w:firstLineChars="200"/>
              <w:jc w:val="both"/>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双腔型。适用于测量中心静脉压力、采集血液样本、以及注入药物或溶液，需要血流动力学监测的重症患者，需要输注有刺激性、腐蚀性或高渗性药液者， 需要为快速容量复苏提供充分保障的患者。</w:t>
            </w:r>
          </w:p>
        </w:tc>
        <w:tc>
          <w:tcPr>
            <w:tcW w:w="3975" w:type="dxa"/>
            <w:vAlign w:val="center"/>
          </w:tcPr>
          <w:p w14:paraId="31BD19DD">
            <w:pPr>
              <w:pStyle w:val="5"/>
              <w:ind w:firstLine="440" w:firstLineChars="200"/>
              <w:jc w:val="both"/>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一次性使用中心静脉导管、一次性使用导引导丝、一次性经皮穿刺用针、一次性使用无菌注射器*2、一次性使用无菌注射针*2、一次性使用手术刀、固定夹、蓝针管、Y形连接器、扩张管、输液接头（肝素帽）、消毒刷*3、纱布块*4、棉球*2、灭菌橡胶外科手套、敷料巾、手术巾、医用脱脂纱布叠片、缝合针（直针、弯针）线、创口贴、医用贴膜（医用愈肤膜）、吸塑药盒、吸塑托盘组成。参考型号：7F-20cm。</w:t>
            </w:r>
          </w:p>
        </w:tc>
      </w:tr>
      <w:tr w14:paraId="1D2D52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58" w:hRule="atLeast"/>
        </w:trPr>
        <w:tc>
          <w:tcPr>
            <w:tcW w:w="473" w:type="dxa"/>
            <w:vAlign w:val="center"/>
          </w:tcPr>
          <w:p w14:paraId="361965F5">
            <w:pPr>
              <w:pStyle w:val="5"/>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3</w:t>
            </w:r>
          </w:p>
        </w:tc>
        <w:tc>
          <w:tcPr>
            <w:tcW w:w="620" w:type="dxa"/>
            <w:vAlign w:val="center"/>
          </w:tcPr>
          <w:p w14:paraId="6C899316">
            <w:pPr>
              <w:pStyle w:val="5"/>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3</w:t>
            </w:r>
          </w:p>
        </w:tc>
        <w:tc>
          <w:tcPr>
            <w:tcW w:w="861" w:type="dxa"/>
            <w:vAlign w:val="center"/>
          </w:tcPr>
          <w:p w14:paraId="7C44FB32">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一次性中心静脉导管包（三腔）</w:t>
            </w:r>
          </w:p>
        </w:tc>
        <w:tc>
          <w:tcPr>
            <w:tcW w:w="1396" w:type="dxa"/>
            <w:vAlign w:val="center"/>
          </w:tcPr>
          <w:p w14:paraId="6ECE1E25">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C020703004</w:t>
            </w:r>
          </w:p>
        </w:tc>
        <w:tc>
          <w:tcPr>
            <w:tcW w:w="2233" w:type="dxa"/>
            <w:vAlign w:val="center"/>
          </w:tcPr>
          <w:p w14:paraId="024785C4">
            <w:pPr>
              <w:pStyle w:val="5"/>
              <w:ind w:firstLine="440" w:firstLineChars="200"/>
              <w:jc w:val="both"/>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三腔型。适用于测量中心静脉压力、采集血液样本、以及注入药物或溶液，需要血流动力学监测的重症患者，需要输注有刺激性、腐蚀性或高渗性药液者， 需要为快速容量复苏提供充分保障的患者。</w:t>
            </w:r>
          </w:p>
          <w:p w14:paraId="318E268B">
            <w:pPr>
              <w:pStyle w:val="5"/>
              <w:ind w:firstLine="440" w:firstLineChars="200"/>
              <w:jc w:val="both"/>
              <w:rPr>
                <w:rFonts w:hint="eastAsia" w:ascii="仿宋" w:hAnsi="仿宋" w:eastAsia="仿宋" w:cs="仿宋"/>
                <w:sz w:val="22"/>
                <w:szCs w:val="22"/>
                <w:lang w:val="en-US" w:eastAsia="zh-CN"/>
              </w:rPr>
            </w:pPr>
          </w:p>
        </w:tc>
        <w:tc>
          <w:tcPr>
            <w:tcW w:w="3975" w:type="dxa"/>
            <w:vAlign w:val="center"/>
          </w:tcPr>
          <w:p w14:paraId="4A038C02">
            <w:pPr>
              <w:pStyle w:val="5"/>
              <w:ind w:firstLine="440" w:firstLineChars="200"/>
              <w:jc w:val="both"/>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一次性使用中心静脉导管、一次性使用导引导丝、一次性经皮穿刺用针、一次性使用无菌注射器*2、一次性使用无菌注射针*2、一次性使用手术刀、固定夹、蓝针管、Y形连接器、扩张管、输液接头（肝素帽）、消 毒刷*3、纱布块*4、棉球*2、灭菌橡胶外科手套、敷料巾、手术巾、医用脱脂纱布叠片、缝合针（直针、弯针）线、创口贴、医用贴膜（医用愈肤膜）、吸塑药盒、吸塑托盘组成。参考型号：7F。</w:t>
            </w:r>
          </w:p>
        </w:tc>
      </w:tr>
    </w:tbl>
    <w:p w14:paraId="16972364">
      <w:pPr>
        <w:pStyle w:val="5"/>
        <w:jc w:val="left"/>
        <w:outlineLvl w:val="9"/>
        <w:rPr>
          <w:rFonts w:hint="eastAsia" w:ascii="仿宋" w:hAnsi="仿宋" w:eastAsia="仿宋" w:cs="仿宋"/>
          <w:b/>
          <w:sz w:val="28"/>
          <w:highlight w:val="none"/>
          <w:lang w:eastAsia="zh-CN"/>
        </w:rPr>
      </w:pPr>
    </w:p>
    <w:p w14:paraId="70D28E0F">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rPr>
          <w:rFonts w:hint="eastAsia" w:ascii="仿宋" w:hAnsi="仿宋" w:eastAsia="仿宋" w:cs="仿宋"/>
          <w:b/>
          <w:bCs/>
          <w:color w:val="000000"/>
          <w:sz w:val="28"/>
          <w:szCs w:val="28"/>
          <w:highlight w:val="none"/>
          <w:lang w:val="en-US" w:eastAsia="zh-CN"/>
        </w:rPr>
      </w:pPr>
      <w:r>
        <w:rPr>
          <w:rFonts w:hint="eastAsia" w:ascii="仿宋" w:hAnsi="仿宋" w:eastAsia="仿宋" w:cs="仿宋"/>
          <w:b/>
          <w:bCs/>
          <w:color w:val="auto"/>
          <w:sz w:val="22"/>
          <w:szCs w:val="22"/>
          <w:highlight w:val="none"/>
          <w:shd w:val="clear" w:color="auto" w:fill="auto"/>
          <w:lang w:val="en-US" w:eastAsia="zh-CN"/>
        </w:rPr>
        <w:t>★</w:t>
      </w:r>
      <w:r>
        <w:rPr>
          <w:rFonts w:hint="eastAsia" w:ascii="仿宋" w:hAnsi="仿宋" w:eastAsia="仿宋" w:cs="仿宋"/>
          <w:b/>
          <w:sz w:val="28"/>
          <w:highlight w:val="none"/>
        </w:rPr>
        <w:t>3.3.</w:t>
      </w:r>
      <w:r>
        <w:rPr>
          <w:rFonts w:hint="eastAsia" w:ascii="仿宋" w:hAnsi="仿宋" w:eastAsia="仿宋" w:cs="仿宋"/>
          <w:b/>
          <w:sz w:val="28"/>
          <w:highlight w:val="none"/>
          <w:lang w:val="en-US" w:eastAsia="zh-CN"/>
        </w:rPr>
        <w:t>项目采购要求</w:t>
      </w:r>
      <w:r>
        <w:rPr>
          <w:rFonts w:hint="eastAsia" w:ascii="仿宋" w:hAnsi="仿宋" w:eastAsia="仿宋" w:cs="仿宋"/>
          <w:b/>
          <w:color w:val="FF0000"/>
          <w:sz w:val="24"/>
          <w:szCs w:val="24"/>
          <w:lang w:eastAsia="zh-CN"/>
        </w:rPr>
        <w:t>（</w:t>
      </w:r>
      <w:r>
        <w:rPr>
          <w:rFonts w:hint="eastAsia" w:ascii="仿宋" w:hAnsi="仿宋" w:eastAsia="仿宋" w:cs="仿宋"/>
          <w:b/>
          <w:color w:val="FF0000"/>
          <w:sz w:val="24"/>
          <w:szCs w:val="24"/>
          <w:lang w:val="en-US" w:eastAsia="zh-CN"/>
        </w:rPr>
        <w:t>包一、包二、包三</w:t>
      </w:r>
      <w:r>
        <w:rPr>
          <w:rFonts w:hint="eastAsia" w:ascii="仿宋" w:hAnsi="仿宋" w:eastAsia="仿宋" w:cs="仿宋"/>
          <w:b/>
          <w:color w:val="FF0000"/>
          <w:sz w:val="24"/>
          <w:szCs w:val="24"/>
          <w:lang w:eastAsia="zh-CN"/>
        </w:rPr>
        <w:t>）</w:t>
      </w:r>
    </w:p>
    <w:p w14:paraId="620659C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 w:hAnsi="仿宋" w:eastAsia="仿宋" w:cs="仿宋"/>
          <w:b/>
          <w:sz w:val="28"/>
          <w:highlight w:val="none"/>
          <w:lang w:val="en-US" w:eastAsia="zh-CN"/>
        </w:rPr>
      </w:pPr>
      <w:r>
        <w:rPr>
          <w:rFonts w:hint="eastAsia" w:ascii="仿宋" w:hAnsi="仿宋" w:eastAsia="仿宋" w:cs="仿宋"/>
          <w:b/>
          <w:sz w:val="28"/>
          <w:highlight w:val="none"/>
          <w:lang w:val="en-US" w:eastAsia="zh-CN"/>
        </w:rPr>
        <w:t>一、挂网需求</w:t>
      </w:r>
    </w:p>
    <w:p w14:paraId="4D247C4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本项目所有标的均须提供挂网产品。</w:t>
      </w:r>
    </w:p>
    <w:p w14:paraId="0783FFB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注：本项目中所指“挂网产品”，为“四川省药品和医用耗材招采管理系统”中已挂网产品（不含正在挂网和备案的产品）。</w:t>
      </w:r>
    </w:p>
    <w:p w14:paraId="54E3E48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 w:hAnsi="仿宋" w:eastAsia="仿宋" w:cs="仿宋"/>
          <w:b/>
          <w:sz w:val="28"/>
          <w:highlight w:val="none"/>
          <w:lang w:val="en-US" w:eastAsia="zh-CN"/>
        </w:rPr>
      </w:pPr>
      <w:r>
        <w:rPr>
          <w:rFonts w:hint="eastAsia" w:ascii="仿宋" w:hAnsi="仿宋" w:eastAsia="仿宋" w:cs="仿宋"/>
          <w:b/>
          <w:sz w:val="28"/>
          <w:highlight w:val="none"/>
          <w:lang w:val="en-US" w:eastAsia="zh-CN"/>
        </w:rPr>
        <w:t>二、样品要求</w:t>
      </w:r>
    </w:p>
    <w:p w14:paraId="4DC4FD1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1.必须提供样品，以供评审专家现场评审。</w:t>
      </w:r>
    </w:p>
    <w:p w14:paraId="3E29D4D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2.提交的样品不符合实际需求或存在原理错误则视为无效响应。</w:t>
      </w:r>
    </w:p>
    <w:p w14:paraId="1CFF6EA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3.本项目投标人提供的样品，应与该投标人响应文件保持一致（具体参考《医疗器械说明书和标签管理规定》）。</w:t>
      </w:r>
    </w:p>
    <w:p w14:paraId="610E92AF">
      <w:pPr>
        <w:spacing w:line="240" w:lineRule="auto"/>
        <w:ind w:firstLine="442" w:firstLineChars="200"/>
        <w:jc w:val="left"/>
        <w:textAlignment w:val="center"/>
        <w:rPr>
          <w:rFonts w:hint="eastAsia"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注：挂网产品价格需满足平台相关要求，包括但不限于：报价不高于“截止上月月末全省医疗机构采购加权平均价、我省最高参考价、联动参考价”。</w:t>
      </w:r>
    </w:p>
    <w:p w14:paraId="13733140">
      <w:pPr>
        <w:spacing w:line="240" w:lineRule="auto"/>
        <w:jc w:val="left"/>
        <w:textAlignment w:val="center"/>
        <w:rPr>
          <w:rFonts w:hint="eastAsia" w:ascii="仿宋" w:hAnsi="仿宋" w:eastAsia="仿宋" w:cs="仿宋"/>
          <w:b/>
          <w:bCs/>
          <w:color w:val="000000"/>
          <w:sz w:val="24"/>
          <w:szCs w:val="24"/>
          <w:highlight w:val="none"/>
          <w:lang w:val="en-US" w:eastAsia="zh-CN"/>
        </w:rPr>
      </w:pPr>
      <w:r>
        <w:rPr>
          <w:rFonts w:hint="eastAsia" w:ascii="仿宋" w:hAnsi="仿宋" w:eastAsia="仿宋" w:cs="仿宋"/>
          <w:b/>
          <w:sz w:val="28"/>
          <w:highlight w:val="none"/>
          <w:lang w:val="en-US" w:eastAsia="zh-CN"/>
        </w:rPr>
        <w:t>三、商务</w:t>
      </w:r>
      <w:r>
        <w:rPr>
          <w:rFonts w:hint="eastAsia" w:ascii="仿宋" w:hAnsi="仿宋" w:eastAsia="仿宋" w:cs="仿宋"/>
          <w:b/>
          <w:sz w:val="28"/>
          <w:highlight w:val="none"/>
        </w:rPr>
        <w:t>要求</w:t>
      </w:r>
      <w:r>
        <w:rPr>
          <w:rFonts w:hint="eastAsia" w:ascii="仿宋" w:hAnsi="仿宋" w:eastAsia="仿宋" w:cs="仿宋"/>
          <w:b/>
          <w:bCs/>
          <w:color w:val="000000"/>
          <w:sz w:val="28"/>
          <w:szCs w:val="28"/>
          <w:highlight w:val="none"/>
          <w:lang w:val="en-US" w:eastAsia="zh-CN"/>
        </w:rPr>
        <w:t>：</w:t>
      </w:r>
    </w:p>
    <w:p w14:paraId="52B3B692">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1.交货期及地点</w:t>
      </w:r>
    </w:p>
    <w:p w14:paraId="3448309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（1）交货期：每次配送时间必须严格按照采购人配送通知执行，中标人应于收到通知后2小时内响应。急救耗材的配送时间不应超过4小时，一般耗材原则上的配送时间不应超过2个工作日。</w:t>
      </w:r>
    </w:p>
    <w:p w14:paraId="2B9C799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（2）交货地点：内江市第一人民医院指定地点。</w:t>
      </w:r>
    </w:p>
    <w:p w14:paraId="02D54026">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2.付款方法和条件</w:t>
      </w:r>
    </w:p>
    <w:p w14:paraId="2046649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（1）结算方式：货款按实结算且由双方协商决定。</w:t>
      </w:r>
    </w:p>
    <w:p w14:paraId="160F1C9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（2）成交价格包含成本、运输、包装、培训、配送、伴随服务、税费及其他附加费用。</w:t>
      </w:r>
    </w:p>
    <w:p w14:paraId="3AF9280F">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3.医用耗材质量保证</w:t>
      </w:r>
    </w:p>
    <w:p w14:paraId="6AF7A62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（1）中标人须提供原厂生产的未曾使用过的、全新的合格的货品（含配套配件等），表面无划伤、无破损痕迹，且权属清楚，不得侵害他人的合法权利。</w:t>
      </w:r>
    </w:p>
    <w:p w14:paraId="16D89A9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2）中标人所提供货品须符合或优于国家（行业）标准、本项目招标文件要求及投标文件响应内容。当投标文件响应内容与招标文件要求不一致时，以投标文件响应内容为准。当投标文件响应内容与国家标准、行业标准（若有）不一致时，以较高标准为准。</w:t>
      </w:r>
    </w:p>
    <w:p w14:paraId="2BF2D8B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（3）中标人提供货品的设计技术专利、外形专利等均应符合我国有关法律法规及行业标准，凡因以上问题与第三方发生的任何纠纷，由中标人承担全部责任，</w:t>
      </w:r>
      <w:r>
        <w:rPr>
          <w:rFonts w:hint="eastAsia" w:ascii="仿宋" w:hAnsi="仿宋" w:eastAsia="仿宋" w:cs="仿宋"/>
          <w:color w:val="000000"/>
          <w:sz w:val="22"/>
          <w:szCs w:val="22"/>
          <w:highlight w:val="none"/>
          <w:lang w:val="en-US" w:eastAsia="zh-Hans"/>
        </w:rPr>
        <w:t>中标人还应</w:t>
      </w:r>
      <w:r>
        <w:rPr>
          <w:rFonts w:hint="eastAsia" w:ascii="仿宋" w:hAnsi="仿宋" w:eastAsia="仿宋" w:cs="仿宋"/>
          <w:color w:val="000000"/>
          <w:sz w:val="22"/>
          <w:szCs w:val="22"/>
          <w:highlight w:val="none"/>
          <w:lang w:val="en-US" w:eastAsia="zh-CN"/>
        </w:rPr>
        <w:t>负责赔偿采购人由此而遭受的全部损失。</w:t>
      </w:r>
    </w:p>
    <w:p w14:paraId="211AB3A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（4）中标人保证其提供货品的安全可靠性。在正常使用下不应对使用者造成任何人身伤害，如因产品质量或标示不明确而对使用者造成损失的，由中标人承担相应责任。</w:t>
      </w:r>
    </w:p>
    <w:p w14:paraId="6E1D2E4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5）中标人应保证所供耗材原产地真实，医用耗材是全新的、未使用过的，质量符合国家标准（在无国家标准时，符合行业标准），不得以假充真，以次充好，确保临床医疗安全。如出现质量问题，中标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3EA4BD1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（6）中标人保证所供耗材有效期不低于1年，自通过最终验收之日起，确保采购人在使用耗材的过程中安全、有效。</w:t>
      </w:r>
    </w:p>
    <w:p w14:paraId="061F0337">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4.验收</w:t>
      </w:r>
    </w:p>
    <w:p w14:paraId="031B4E1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1）按照《财政部关于进一步加强政府采购需求和履约验收管理的指导意见》（财库〔2016〕205号）的要求以及采购人招标文件的质量要求和技术指标、中标人的投标文件及承诺（若有）、国家（行业）标准、采购合同约定标准进行验收；</w:t>
      </w:r>
    </w:p>
    <w:p w14:paraId="30B0C7A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2）验收时如发现所交付的货物有短装、次品、损坏或其他不符合验收标准的，采购人应做出详尽的现场记录，此现场记录或备忘录可用作补充、缺失和更换损坏部件的有效证据，由此产生的时间延误与有关费用由中标人承担，验收期限相应顺延；</w:t>
      </w:r>
    </w:p>
    <w:p w14:paraId="142608E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3）若所提供货物不符合验收标准，中标人经过2次维修或2次调换后仍不能达到验收质量标准，则视为验收不合格，采购人有权全部（或部分）退货或解除合同。接到采购人退货通知，中标人除应及时运走采购人退还的货物外（若涉及费用或损失均由中标人自行承担），还应向采购人承担相应的违约责任。</w:t>
      </w:r>
    </w:p>
    <w:p w14:paraId="7EF5BEE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（4）其他未尽事宜严格按照《财政部关于进一步加强政府采购需求和履约验收管理的指导意见》（财库〔2016〕205号）的要求进行。</w:t>
      </w:r>
    </w:p>
    <w:p w14:paraId="73A79F8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b/>
          <w:bCs/>
          <w:color w:val="000000"/>
          <w:sz w:val="22"/>
          <w:szCs w:val="22"/>
          <w:lang w:val="en-US" w:eastAsia="zh-CN"/>
        </w:rPr>
        <w:t>5.售后服务</w:t>
      </w:r>
    </w:p>
    <w:p w14:paraId="1AB1974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1）要求中标人必须严格按照招标文件要求和投标文件中的承诺提供配送服务。如果配送的医用耗材规格、包装等信息与中标产品的规格、包装等信息不一致并不同意更换的，或配送的医用耗材和中标产品不一致的，采购人有权终止合同。</w:t>
      </w:r>
    </w:p>
    <w:p w14:paraId="632AAE0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（2）要求中标人指派专人负责与采购人联系售后服务事宜；在投标文件中列明售后联系人及联系电话。</w:t>
      </w:r>
    </w:p>
    <w:p w14:paraId="4E744FC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3）要求中标人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06A95F5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（4）耗材临近失效期，采购人提前三个月向中标人提出更换，中标人须在耗材失效前一个月更换完毕，不得以任何理由进行推诿。</w:t>
      </w:r>
    </w:p>
    <w:p w14:paraId="62BE96F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（5）中标人必须随货提供其具备医疗器械经营企业的有关合法有效的手续（包括但不限于）：</w:t>
      </w:r>
    </w:p>
    <w:p w14:paraId="6D6B792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1).产品所涉及逐级授权经销商的医疗器械生产（经营）许可证或生产（经营）企业备案表；</w:t>
      </w:r>
    </w:p>
    <w:p w14:paraId="6E5A15F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2).医疗器械产品注册证或备案凭证；</w:t>
      </w:r>
    </w:p>
    <w:p w14:paraId="092C17C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3).医疗器械生产企业许可证；</w:t>
      </w:r>
    </w:p>
    <w:p w14:paraId="2FECE0A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4).经销商获得的委托授权书（逐级）；</w:t>
      </w:r>
    </w:p>
    <w:p w14:paraId="08D01C5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5).产品所涉及逐级授权经销商的企业法人营业执照。</w:t>
      </w:r>
    </w:p>
    <w:p w14:paraId="23C9337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6).采购人要求提供的相关资料。</w:t>
      </w:r>
    </w:p>
    <w:p w14:paraId="0FB2C3D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中标人或厂家原因无法按上述要求执行的，则采购人可以解除与中标人在成交合同中对该产品的采购相关约定。</w:t>
      </w:r>
    </w:p>
    <w:p w14:paraId="48BBB00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 xml:space="preserve">6.包装和运输 </w:t>
      </w:r>
    </w:p>
    <w:p w14:paraId="37E3915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 xml:space="preserve">（1）成交投标人须严格按照《商品包装政府采购需求标准(试行)》、《快递包装政府采购需 求标准(试行)》(财办库〔2020〕123 号)的要求进行产品及相关快递服务的包装。 </w:t>
      </w:r>
    </w:p>
    <w:p w14:paraId="53E83FB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 xml:space="preserve">（2）投标人应当按照约定的方式交付标的物。对于包装方式没有约定或者约定不明确的，应当按照通用的方式包装；没有通用方式的，应当采取足以保护标的物且有利于节约资源，保护生态环境的包装方式。 </w:t>
      </w:r>
    </w:p>
    <w:p w14:paraId="2EF6FBF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（3）本次采购的标的物需要运输，投标人在合同约定的时间内将标的物运输至合同约定地点。</w:t>
      </w:r>
    </w:p>
    <w:p w14:paraId="311903A7">
      <w:pPr>
        <w:pStyle w:val="5"/>
        <w:jc w:val="left"/>
        <w:outlineLvl w:val="9"/>
        <w:rPr>
          <w:rFonts w:hint="eastAsia" w:ascii="仿宋" w:hAnsi="仿宋" w:eastAsia="仿宋" w:cs="仿宋"/>
          <w:highlight w:val="none"/>
        </w:rPr>
      </w:pPr>
      <w:r>
        <w:rPr>
          <w:rFonts w:hint="eastAsia" w:ascii="仿宋" w:hAnsi="仿宋" w:eastAsia="仿宋" w:cs="仿宋"/>
          <w:b/>
          <w:sz w:val="28"/>
          <w:highlight w:val="none"/>
        </w:rPr>
        <w:t>3.4.其他要求</w:t>
      </w:r>
    </w:p>
    <w:p w14:paraId="524EC350">
      <w:pPr>
        <w:pStyle w:val="5"/>
        <w:ind w:firstLine="480"/>
        <w:jc w:val="left"/>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1.违约责任与解决争议的方法：</w:t>
      </w:r>
    </w:p>
    <w:p w14:paraId="3DFEAF57">
      <w:pPr>
        <w:pStyle w:val="5"/>
        <w:ind w:firstLine="480"/>
        <w:jc w:val="left"/>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1.1违约责任</w:t>
      </w:r>
    </w:p>
    <w:p w14:paraId="515F97BC">
      <w:pPr>
        <w:pStyle w:val="5"/>
        <w:ind w:firstLine="48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违约责任</w:t>
      </w:r>
    </w:p>
    <w:p w14:paraId="55F90A9B">
      <w:pPr>
        <w:pStyle w:val="5"/>
        <w:ind w:firstLine="48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1、中标人逾期15日内不能提供采购人所需医用耗材的，应向采购人每日支付该批次货款千分之三的违约金。</w:t>
      </w:r>
    </w:p>
    <w:p w14:paraId="7F622E3D">
      <w:pPr>
        <w:pStyle w:val="5"/>
        <w:ind w:firstLine="48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2、中标人逾期15日及以上不能交付以上产品的，视同不能供货，须向采购人支付该批次货款的10%的违约金，同时采购人可以单方面解除采购合同。</w:t>
      </w:r>
    </w:p>
    <w:p w14:paraId="00BEF574">
      <w:pPr>
        <w:pStyle w:val="5"/>
        <w:ind w:firstLine="48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3、若因中标人原因造成采购人被监管部门通报三次及以上的或者造成采购人违规采购，采购人有权单方面解除采购合同。同时，采购人有权要求中标人支付该批货物价款20%的违约金。</w:t>
      </w:r>
    </w:p>
    <w:p w14:paraId="7B95015F">
      <w:pPr>
        <w:pStyle w:val="5"/>
        <w:ind w:firstLine="48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4、中标人销售的产品若发生严重医疗不良事件或被国家法定检测机构检测为不合格产品，视为中标人违约导致不能实现采购合同目的，采购人有权单方面解除采购合同，并要求中标人限期收回不合格产品，并要求中标人需承担合同价款20%的违约金，违约金不足以弥补采购人损失的，中标人还应当承补足。</w:t>
      </w:r>
    </w:p>
    <w:p w14:paraId="6DF17EF8">
      <w:pPr>
        <w:pStyle w:val="5"/>
        <w:ind w:firstLine="48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即使产品已经验收入库（或安装调试完毕）后，采购人才发现产品为不合格产品的，也视为中标人违约，中标人应当承担本条约定的责任。同时采购人有权退回库存产品。</w:t>
      </w:r>
    </w:p>
    <w:p w14:paraId="49418E36">
      <w:pPr>
        <w:pStyle w:val="5"/>
        <w:ind w:firstLine="48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5、若根据法律规定或本协议约定产生采购人退、换货或拒绝收货情形，由中标人承担退换货产生的各项税、费或其他支出。</w:t>
      </w:r>
    </w:p>
    <w:p w14:paraId="5E023F4E">
      <w:pPr>
        <w:pStyle w:val="5"/>
        <w:ind w:firstLine="48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6、中标人不能保证及时供货，除应当向采购人承担违约责任外，采购人仍有权单方面解除采购合同。</w:t>
      </w:r>
    </w:p>
    <w:p w14:paraId="5DA22B23">
      <w:pPr>
        <w:pStyle w:val="5"/>
        <w:ind w:firstLine="48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7、因中标人提供的产品不合格造成采购人或第三人人身损害或财产损失的，由中标人承担赔偿责任。</w:t>
      </w:r>
    </w:p>
    <w:p w14:paraId="7A17C9B7">
      <w:pPr>
        <w:pStyle w:val="5"/>
        <w:ind w:firstLine="480"/>
        <w:jc w:val="left"/>
        <w:rPr>
          <w:rFonts w:hint="eastAsia" w:ascii="仿宋" w:hAnsi="仿宋" w:eastAsia="仿宋" w:cs="仿宋"/>
          <w:b/>
          <w:bCs/>
          <w:sz w:val="24"/>
          <w:szCs w:val="24"/>
          <w:highlight w:val="none"/>
          <w:lang w:val="en-US" w:eastAsia="zh-CN"/>
        </w:rPr>
      </w:pPr>
      <w:r>
        <w:rPr>
          <w:rFonts w:hint="eastAsia" w:ascii="仿宋" w:hAnsi="仿宋" w:eastAsia="仿宋" w:cs="仿宋"/>
          <w:b w:val="0"/>
          <w:bCs w:val="0"/>
          <w:sz w:val="24"/>
          <w:szCs w:val="24"/>
          <w:highlight w:val="none"/>
          <w:lang w:val="en-US" w:eastAsia="zh-CN"/>
        </w:rPr>
        <w:t>8、</w:t>
      </w:r>
      <w:r>
        <w:rPr>
          <w:rFonts w:hint="eastAsia" w:ascii="仿宋" w:hAnsi="仿宋" w:eastAsia="仿宋" w:cs="仿宋"/>
          <w:b w:val="0"/>
          <w:bCs w:val="0"/>
          <w:sz w:val="24"/>
          <w:szCs w:val="24"/>
          <w:highlight w:val="none"/>
          <w:lang w:val="en-US" w:eastAsia="zh-CN"/>
        </w:rPr>
        <w:tab/>
      </w:r>
      <w:r>
        <w:rPr>
          <w:rFonts w:hint="eastAsia" w:ascii="仿宋" w:hAnsi="仿宋" w:eastAsia="仿宋" w:cs="仿宋"/>
          <w:b w:val="0"/>
          <w:bCs w:val="0"/>
          <w:sz w:val="24"/>
          <w:szCs w:val="24"/>
          <w:highlight w:val="none"/>
          <w:lang w:val="en-US" w:eastAsia="zh-CN"/>
        </w:rPr>
        <w:t>若因中标人原因造成采购人挂网执行存在问题以及线上支付不及时、造成采购人未挂网采购的或者存在其他问题的，中标人应承担违约责任，且采购人有权要求中标人支付该批货物价款20%的违约金，采购人有权单方面解除合同。</w:t>
      </w:r>
      <w:r>
        <w:rPr>
          <w:rFonts w:hint="eastAsia" w:ascii="仿宋" w:hAnsi="仿宋" w:eastAsia="仿宋" w:cs="仿宋"/>
          <w:b/>
          <w:bCs/>
          <w:sz w:val="24"/>
          <w:szCs w:val="24"/>
          <w:highlight w:val="none"/>
          <w:lang w:val="en-US" w:eastAsia="zh-CN"/>
        </w:rPr>
        <w:t>1.2解决合同纠纷的方式</w:t>
      </w:r>
    </w:p>
    <w:p w14:paraId="62ED1FE6">
      <w:pPr>
        <w:pStyle w:val="5"/>
        <w:ind w:firstLine="48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1、因货物的质量问题发生的争议，由法定质量鉴定机构或其认可的质量鉴定机构进行质量鉴定。货物符合标准的，鉴定费由采购人承担；货物不符合质量标准的，鉴定费由中标人承担。</w:t>
      </w:r>
    </w:p>
    <w:p w14:paraId="3481EFFC">
      <w:pPr>
        <w:pStyle w:val="5"/>
        <w:ind w:firstLine="480"/>
        <w:jc w:val="left"/>
        <w:rPr>
          <w:rFonts w:hint="default"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2、合同履行期间，若双方发生争议，可协商或由有关部门调解解决，协商或调解不成的，可向采购人所在地人民法院依法提起诉讼。</w:t>
      </w:r>
    </w:p>
    <w:p w14:paraId="7E136966">
      <w:pPr>
        <w:pStyle w:val="5"/>
        <w:ind w:firstLine="480"/>
        <w:jc w:val="left"/>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b/>
          <w:bCs/>
          <w:sz w:val="24"/>
          <w:szCs w:val="24"/>
          <w:highlight w:val="none"/>
          <w:lang w:val="en-US" w:eastAsia="zh-CN"/>
        </w:rPr>
        <w:t>2.</w:t>
      </w:r>
      <w:r>
        <w:rPr>
          <w:rFonts w:hint="eastAsia" w:ascii="仿宋" w:hAnsi="仿宋" w:eastAsia="仿宋" w:cs="仿宋"/>
          <w:b/>
          <w:bCs/>
          <w:color w:val="auto"/>
          <w:sz w:val="24"/>
          <w:szCs w:val="24"/>
          <w:highlight w:val="none"/>
          <w:shd w:val="clear" w:color="auto" w:fill="auto"/>
        </w:rPr>
        <w:t>履行期限</w:t>
      </w:r>
      <w:r>
        <w:rPr>
          <w:rFonts w:hint="eastAsia" w:ascii="仿宋" w:hAnsi="仿宋" w:eastAsia="仿宋" w:cs="仿宋"/>
          <w:b/>
          <w:bCs/>
          <w:color w:val="auto"/>
          <w:sz w:val="24"/>
          <w:szCs w:val="24"/>
          <w:highlight w:val="none"/>
          <w:shd w:val="clear" w:color="auto" w:fill="auto"/>
          <w:lang w:eastAsia="zh-CN"/>
        </w:rPr>
        <w:t>：</w:t>
      </w:r>
      <w:r>
        <w:rPr>
          <w:rFonts w:hint="eastAsia" w:ascii="仿宋" w:hAnsi="仿宋" w:eastAsia="仿宋" w:cs="仿宋"/>
          <w:b w:val="0"/>
          <w:bCs w:val="0"/>
          <w:color w:val="auto"/>
          <w:sz w:val="24"/>
          <w:szCs w:val="24"/>
          <w:highlight w:val="none"/>
          <w:shd w:val="clear" w:color="auto" w:fill="auto"/>
          <w:lang w:val="en-US" w:eastAsia="zh-CN"/>
        </w:rPr>
        <w:t>3</w:t>
      </w:r>
      <w:r>
        <w:rPr>
          <w:rFonts w:hint="eastAsia" w:ascii="仿宋" w:hAnsi="仿宋" w:eastAsia="仿宋" w:cs="仿宋"/>
          <w:color w:val="auto"/>
          <w:sz w:val="24"/>
          <w:szCs w:val="24"/>
          <w:highlight w:val="none"/>
          <w:shd w:val="clear" w:color="auto" w:fill="auto"/>
          <w:lang w:val="en-US" w:eastAsia="zh-CN"/>
        </w:rPr>
        <w:t>年；</w:t>
      </w:r>
    </w:p>
    <w:p w14:paraId="067A5852">
      <w:pPr>
        <w:pStyle w:val="5"/>
        <w:ind w:firstLine="48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b/>
          <w:bCs/>
          <w:sz w:val="24"/>
          <w:szCs w:val="24"/>
          <w:highlight w:val="none"/>
          <w:lang w:val="en-US" w:eastAsia="zh-CN"/>
        </w:rPr>
        <w:t>3.支付方式：</w:t>
      </w:r>
      <w:r>
        <w:rPr>
          <w:rFonts w:hint="eastAsia" w:ascii="仿宋" w:hAnsi="仿宋" w:eastAsia="仿宋" w:cs="仿宋"/>
          <w:b w:val="0"/>
          <w:bCs w:val="0"/>
          <w:sz w:val="24"/>
          <w:szCs w:val="24"/>
          <w:highlight w:val="none"/>
          <w:lang w:val="en-US" w:eastAsia="zh-CN"/>
        </w:rPr>
        <w:t>双方协商确定。</w:t>
      </w:r>
    </w:p>
    <w:p w14:paraId="7700B645">
      <w:pPr>
        <w:pStyle w:val="5"/>
        <w:ind w:firstLine="480"/>
        <w:jc w:val="left"/>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4.履约验收程序：</w:t>
      </w:r>
      <w:r>
        <w:rPr>
          <w:rFonts w:hint="eastAsia" w:ascii="仿宋" w:hAnsi="仿宋" w:eastAsia="仿宋" w:cs="仿宋"/>
          <w:b w:val="0"/>
          <w:bCs w:val="0"/>
          <w:sz w:val="24"/>
          <w:szCs w:val="24"/>
          <w:highlight w:val="none"/>
          <w:lang w:val="en-US" w:eastAsia="zh-CN"/>
        </w:rPr>
        <w:t>分批次验收。</w:t>
      </w:r>
    </w:p>
    <w:p w14:paraId="280D07C2">
      <w:pPr>
        <w:pStyle w:val="5"/>
        <w:ind w:firstLine="480"/>
        <w:jc w:val="left"/>
        <w:rPr>
          <w:rFonts w:hint="eastAsia" w:ascii="仿宋" w:hAnsi="仿宋" w:eastAsia="仿宋" w:cs="仿宋"/>
          <w:highlight w:val="none"/>
        </w:rPr>
      </w:pPr>
      <w:r>
        <w:rPr>
          <w:rFonts w:hint="eastAsia" w:ascii="仿宋" w:hAnsi="仿宋" w:eastAsia="仿宋" w:cs="仿宋"/>
          <w:b/>
          <w:bCs/>
          <w:sz w:val="24"/>
          <w:szCs w:val="24"/>
          <w:highlight w:val="none"/>
          <w:lang w:val="en-US" w:eastAsia="zh-CN"/>
        </w:rPr>
        <w:t>5.履约验收时间：</w:t>
      </w:r>
      <w:r>
        <w:rPr>
          <w:rFonts w:hint="eastAsia" w:ascii="仿宋" w:hAnsi="仿宋" w:eastAsia="仿宋" w:cs="仿宋"/>
          <w:b w:val="0"/>
          <w:bCs w:val="0"/>
          <w:sz w:val="24"/>
          <w:szCs w:val="24"/>
          <w:highlight w:val="none"/>
          <w:lang w:val="en-US" w:eastAsia="zh-CN"/>
        </w:rPr>
        <w:t>合同期限内，根据采购人要求分批次送货，完成送货、验收入库视为验收完成。</w:t>
      </w:r>
      <w:r>
        <w:rPr>
          <w:rFonts w:hint="eastAsia" w:ascii="仿宋" w:hAnsi="仿宋" w:eastAsia="仿宋" w:cs="仿宋"/>
          <w:sz w:val="24"/>
          <w:szCs w:val="24"/>
          <w:highlight w:val="none"/>
        </w:rPr>
        <w:br w:type="textWrapping"/>
      </w:r>
      <w:r>
        <w:rPr>
          <w:rFonts w:hint="eastAsia" w:ascii="仿宋" w:hAnsi="仿宋" w:eastAsia="仿宋" w:cs="仿宋"/>
          <w:highlight w:val="none"/>
        </w:rPr>
        <w:br w:type="page"/>
      </w:r>
    </w:p>
    <w:p w14:paraId="3266C419">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A03A7"/>
    <w:rsid w:val="7AEA03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widowControl w:val="0"/>
      <w:autoSpaceDE/>
      <w:autoSpaceDN/>
      <w:spacing w:before="0" w:after="0" w:line="360" w:lineRule="auto"/>
      <w:ind w:left="0" w:firstLine="24"/>
      <w:jc w:val="center"/>
      <w:outlineLvl w:val="0"/>
    </w:pPr>
    <w:rPr>
      <w:rFonts w:ascii="Times New Roman" w:hAnsi="Times New Roman" w:eastAsia="仿宋" w:cs="Times New Roman"/>
      <w:b/>
      <w:sz w:val="32"/>
      <w:szCs w:val="22"/>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2025-01-13T09:18:00Z</dcterms:created>
  <dc:creator>SJ</dc:creator>
  <cp:lastModifiedBy>SJ</cp:lastModifiedBy>
  <dcterms:modified xsi:type="dcterms:W3CDTF">2025-01-13T09:19:59Z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AE8996244A8C4C938F45FB04DB867EAB_11</vt:lpwstr>
  </property>
  <property fmtid="{D5CDD505-2E9C-101B-9397-08002B2CF9AE}" pid="4" name="KSOTemplateDocerSaveRecord">
    <vt:lpwstr>eyJoZGlkIjoiNzE0ZDA2NmExM2IyNjhiNTRiYmQ5NGZkMDIyMzUwN2IiLCJ1c2VySWQiOiIyNTYwMTc2MTQifQ==</vt:lpwstr>
  </property>
</Properties>
</file>