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297410">
      <w:pPr>
        <w:pStyle w:val="5"/>
        <w:jc w:val="center"/>
        <w:outlineLvl w:val="1"/>
        <w:rPr>
          <w:rFonts w:hint="eastAsia" w:ascii="仿宋" w:hAnsi="仿宋" w:eastAsia="仿宋" w:cs="仿宋"/>
          <w:highlight w:val="none"/>
        </w:rPr>
      </w:pPr>
      <w:r>
        <w:rPr>
          <w:rFonts w:hint="eastAsia" w:ascii="仿宋" w:hAnsi="仿宋" w:eastAsia="仿宋" w:cs="仿宋"/>
          <w:b/>
          <w:sz w:val="36"/>
          <w:highlight w:val="none"/>
        </w:rPr>
        <w:t>第三章 技术、服务及其他要求</w:t>
      </w:r>
    </w:p>
    <w:p w14:paraId="6297DCB1">
      <w:pPr>
        <w:pStyle w:val="5"/>
        <w:ind w:firstLine="480"/>
        <w:jc w:val="left"/>
        <w:rPr>
          <w:rFonts w:hint="eastAsia" w:ascii="仿宋" w:hAnsi="仿宋" w:eastAsia="仿宋" w:cs="仿宋"/>
          <w:highlight w:val="none"/>
        </w:rPr>
      </w:pPr>
      <w:r>
        <w:rPr>
          <w:rFonts w:hint="eastAsia" w:ascii="仿宋" w:hAnsi="仿宋" w:eastAsia="仿宋" w:cs="仿宋"/>
          <w:highlight w:val="none"/>
        </w:rPr>
        <w:t>（注：本章的技术、服务及其他要求中，带“★”的要求为实质性要求。</w:t>
      </w:r>
      <w:r>
        <w:rPr>
          <w:rFonts w:hint="eastAsia" w:ascii="仿宋" w:hAnsi="仿宋" w:eastAsia="仿宋" w:cs="仿宋"/>
          <w:highlight w:val="none"/>
          <w:lang w:eastAsia="zh-CN"/>
        </w:rPr>
        <w:t>采购人</w:t>
      </w:r>
      <w:r>
        <w:rPr>
          <w:rFonts w:hint="eastAsia" w:ascii="仿宋" w:hAnsi="仿宋" w:eastAsia="仿宋" w:cs="仿宋"/>
          <w:highlight w:val="none"/>
        </w:rPr>
        <w:t>、代理机构应当根据项目实际要求合理设定，并在第五章符合性审查中明确响应要求。）</w:t>
      </w:r>
    </w:p>
    <w:p w14:paraId="3FD36F02">
      <w:pPr>
        <w:pStyle w:val="5"/>
        <w:jc w:val="left"/>
        <w:outlineLvl w:val="2"/>
        <w:rPr>
          <w:rFonts w:hint="eastAsia" w:ascii="仿宋" w:hAnsi="仿宋" w:eastAsia="仿宋" w:cs="仿宋"/>
          <w:highlight w:val="none"/>
          <w:lang w:eastAsia="zh-CN"/>
        </w:rPr>
      </w:pPr>
      <w:r>
        <w:rPr>
          <w:rFonts w:hint="eastAsia" w:ascii="仿宋" w:hAnsi="仿宋" w:eastAsia="仿宋" w:cs="仿宋"/>
          <w:b/>
          <w:sz w:val="28"/>
          <w:highlight w:val="none"/>
        </w:rPr>
        <w:t>3.1.</w:t>
      </w:r>
      <w:r>
        <w:rPr>
          <w:rFonts w:hint="eastAsia" w:ascii="仿宋" w:hAnsi="仿宋" w:eastAsia="仿宋" w:cs="仿宋"/>
          <w:b/>
          <w:sz w:val="28"/>
          <w:highlight w:val="none"/>
          <w:lang w:val="en-US" w:eastAsia="zh-CN"/>
        </w:rPr>
        <w:t>标的情况</w:t>
      </w:r>
    </w:p>
    <w:p w14:paraId="18EEF031">
      <w:pPr>
        <w:pStyle w:val="5"/>
        <w:jc w:val="left"/>
        <w:rPr>
          <w:rFonts w:hint="eastAsia" w:ascii="仿宋" w:hAnsi="仿宋" w:eastAsia="仿宋" w:cs="仿宋"/>
          <w:b/>
          <w:bCs/>
          <w:i w:val="0"/>
          <w:iCs w:val="0"/>
        </w:rPr>
      </w:pPr>
      <w:r>
        <w:rPr>
          <w:rFonts w:hint="eastAsia" w:ascii="仿宋" w:hAnsi="仿宋" w:eastAsia="仿宋" w:cs="仿宋"/>
          <w:b/>
          <w:bCs/>
          <w:i w:val="0"/>
          <w:iCs w:val="0"/>
          <w:sz w:val="24"/>
          <w:szCs w:val="24"/>
        </w:rPr>
        <w:t>采购包1：</w:t>
      </w:r>
    </w:p>
    <w:p w14:paraId="5F017A77">
      <w:pPr>
        <w:pStyle w:val="5"/>
        <w:ind w:firstLine="480"/>
        <w:jc w:val="left"/>
        <w:rPr>
          <w:rFonts w:hint="eastAsia" w:ascii="仿宋" w:hAnsi="仿宋" w:eastAsia="仿宋" w:cs="仿宋"/>
        </w:rPr>
      </w:pPr>
      <w:r>
        <w:rPr>
          <w:rFonts w:hint="eastAsia" w:ascii="仿宋" w:hAnsi="仿宋" w:eastAsia="仿宋" w:cs="仿宋"/>
        </w:rPr>
        <w:t>★</w:t>
      </w:r>
      <w:r>
        <w:rPr>
          <w:rFonts w:hint="eastAsia" w:ascii="仿宋" w:hAnsi="仿宋" w:eastAsia="仿宋" w:cs="仿宋"/>
          <w:lang w:val="en-US" w:eastAsia="zh-CN"/>
        </w:rPr>
        <w:t>本项目提供的产品，必须为“四川省药品和医用耗材招采管理系统”中已挂网产品（不含正在挂网和备案的产品）。</w:t>
      </w:r>
    </w:p>
    <w:tbl>
      <w:tblPr>
        <w:tblStyle w:val="2"/>
        <w:tblW w:w="8542"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662"/>
        <w:gridCol w:w="816"/>
        <w:gridCol w:w="2619"/>
        <w:gridCol w:w="1333"/>
        <w:gridCol w:w="1402"/>
        <w:gridCol w:w="1710"/>
      </w:tblGrid>
      <w:tr w14:paraId="777B436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33" w:hRule="atLeast"/>
          <w:jc w:val="center"/>
        </w:trPr>
        <w:tc>
          <w:tcPr>
            <w:tcW w:w="662" w:type="dxa"/>
            <w:vAlign w:val="center"/>
          </w:tcPr>
          <w:p w14:paraId="1BC607C1">
            <w:pPr>
              <w:pStyle w:val="5"/>
              <w:jc w:val="center"/>
              <w:rPr>
                <w:rFonts w:hint="eastAsia" w:ascii="仿宋" w:hAnsi="仿宋" w:eastAsia="仿宋" w:cs="仿宋"/>
                <w:lang w:val="en-US" w:eastAsia="zh-CN"/>
              </w:rPr>
            </w:pPr>
            <w:r>
              <w:rPr>
                <w:rFonts w:hint="eastAsia" w:ascii="仿宋" w:hAnsi="仿宋" w:eastAsia="仿宋" w:cs="仿宋"/>
                <w:lang w:val="en-US" w:eastAsia="zh-CN"/>
              </w:rPr>
              <w:t>包号</w:t>
            </w:r>
          </w:p>
        </w:tc>
        <w:tc>
          <w:tcPr>
            <w:tcW w:w="816" w:type="dxa"/>
            <w:vAlign w:val="center"/>
          </w:tcPr>
          <w:p w14:paraId="7CDACC59">
            <w:pPr>
              <w:pStyle w:val="5"/>
              <w:jc w:val="center"/>
              <w:rPr>
                <w:rFonts w:hint="eastAsia" w:ascii="仿宋" w:hAnsi="仿宋" w:eastAsia="仿宋" w:cs="仿宋"/>
                <w:lang w:val="en-US" w:eastAsia="zh-CN"/>
              </w:rPr>
            </w:pPr>
            <w:r>
              <w:rPr>
                <w:rFonts w:hint="eastAsia" w:ascii="仿宋" w:hAnsi="仿宋" w:eastAsia="仿宋" w:cs="仿宋"/>
                <w:lang w:val="en-US" w:eastAsia="zh-CN"/>
              </w:rPr>
              <w:t>编号</w:t>
            </w:r>
          </w:p>
        </w:tc>
        <w:tc>
          <w:tcPr>
            <w:tcW w:w="2619" w:type="dxa"/>
            <w:vAlign w:val="center"/>
          </w:tcPr>
          <w:p w14:paraId="61A5F8FE">
            <w:pPr>
              <w:pStyle w:val="5"/>
              <w:jc w:val="center"/>
              <w:rPr>
                <w:rFonts w:hint="eastAsia" w:ascii="仿宋" w:hAnsi="仿宋" w:eastAsia="仿宋" w:cs="仿宋"/>
                <w:lang w:val="en-US" w:eastAsia="zh-CN"/>
              </w:rPr>
            </w:pPr>
            <w:r>
              <w:rPr>
                <w:rFonts w:hint="eastAsia" w:ascii="仿宋" w:hAnsi="仿宋" w:eastAsia="仿宋" w:cs="仿宋"/>
                <w:lang w:val="en-US" w:eastAsia="zh-CN"/>
              </w:rPr>
              <w:t>标的名称</w:t>
            </w:r>
          </w:p>
        </w:tc>
        <w:tc>
          <w:tcPr>
            <w:tcW w:w="1333" w:type="dxa"/>
            <w:vAlign w:val="center"/>
          </w:tcPr>
          <w:p w14:paraId="620196E4">
            <w:pPr>
              <w:pStyle w:val="5"/>
              <w:jc w:val="center"/>
              <w:rPr>
                <w:rFonts w:hint="eastAsia" w:ascii="仿宋" w:hAnsi="仿宋" w:eastAsia="仿宋" w:cs="仿宋"/>
                <w:lang w:val="en-US" w:eastAsia="zh-CN"/>
              </w:rPr>
            </w:pPr>
            <w:r>
              <w:rPr>
                <w:rFonts w:hint="eastAsia" w:ascii="仿宋" w:hAnsi="仿宋" w:eastAsia="仿宋" w:cs="仿宋"/>
                <w:lang w:val="en-US" w:eastAsia="zh-CN"/>
              </w:rPr>
              <w:t>★单价（元）</w:t>
            </w:r>
          </w:p>
        </w:tc>
        <w:tc>
          <w:tcPr>
            <w:tcW w:w="1402" w:type="dxa"/>
            <w:vAlign w:val="center"/>
          </w:tcPr>
          <w:p w14:paraId="2C368046">
            <w:pPr>
              <w:pStyle w:val="5"/>
              <w:jc w:val="center"/>
              <w:rPr>
                <w:rFonts w:hint="eastAsia" w:ascii="仿宋" w:hAnsi="仿宋" w:eastAsia="仿宋" w:cs="仿宋"/>
                <w:lang w:val="en-US" w:eastAsia="zh-CN"/>
              </w:rPr>
            </w:pPr>
            <w:r>
              <w:rPr>
                <w:rFonts w:hint="eastAsia" w:ascii="仿宋" w:hAnsi="仿宋" w:eastAsia="仿宋" w:cs="仿宋"/>
                <w:lang w:val="en-US" w:eastAsia="zh-CN"/>
              </w:rPr>
              <w:t>★计量单位</w:t>
            </w:r>
          </w:p>
        </w:tc>
        <w:tc>
          <w:tcPr>
            <w:tcW w:w="1710" w:type="dxa"/>
            <w:vAlign w:val="center"/>
          </w:tcPr>
          <w:p w14:paraId="7F3E2AB4">
            <w:pPr>
              <w:pStyle w:val="5"/>
              <w:jc w:val="center"/>
              <w:rPr>
                <w:rFonts w:hint="eastAsia" w:ascii="仿宋" w:hAnsi="仿宋" w:eastAsia="仿宋" w:cs="仿宋"/>
                <w:lang w:val="en-US" w:eastAsia="zh-CN"/>
              </w:rPr>
            </w:pPr>
            <w:r>
              <w:rPr>
                <w:rFonts w:hint="eastAsia" w:ascii="仿宋" w:hAnsi="仿宋" w:eastAsia="仿宋" w:cs="仿宋"/>
                <w:lang w:val="en-US" w:eastAsia="zh-CN"/>
              </w:rPr>
              <w:t>预算金额/最高限价（每年）（元）</w:t>
            </w:r>
          </w:p>
        </w:tc>
      </w:tr>
      <w:tr w14:paraId="5EEAD1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662" w:type="dxa"/>
            <w:vMerge w:val="restart"/>
            <w:vAlign w:val="center"/>
          </w:tcPr>
          <w:p w14:paraId="0423EDA5">
            <w:pPr>
              <w:pStyle w:val="5"/>
              <w:jc w:val="center"/>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1</w:t>
            </w:r>
          </w:p>
        </w:tc>
        <w:tc>
          <w:tcPr>
            <w:tcW w:w="816" w:type="dxa"/>
            <w:vAlign w:val="center"/>
          </w:tcPr>
          <w:p w14:paraId="57BF8E15">
            <w:pPr>
              <w:pStyle w:val="5"/>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1</w:t>
            </w:r>
          </w:p>
        </w:tc>
        <w:tc>
          <w:tcPr>
            <w:tcW w:w="2619" w:type="dxa"/>
            <w:vAlign w:val="center"/>
          </w:tcPr>
          <w:p w14:paraId="3844D9D8">
            <w:pPr>
              <w:keepNext w:val="0"/>
              <w:keepLines w:val="0"/>
              <w:widowControl/>
              <w:suppressLineNumbers w:val="0"/>
              <w:jc w:val="center"/>
              <w:textAlignment w:val="center"/>
              <w:rPr>
                <w:rFonts w:hint="eastAsia" w:ascii="仿宋" w:hAnsi="仿宋" w:eastAsia="仿宋" w:cs="仿宋"/>
                <w:sz w:val="22"/>
                <w:szCs w:val="28"/>
                <w:lang w:val="en-US" w:eastAsia="zh-CN"/>
              </w:rPr>
            </w:pPr>
            <w:r>
              <w:rPr>
                <w:rFonts w:hint="eastAsia" w:ascii="仿宋" w:hAnsi="仿宋" w:eastAsia="仿宋" w:cs="仿宋"/>
                <w:sz w:val="22"/>
                <w:szCs w:val="28"/>
                <w:lang w:val="en-US" w:eastAsia="zh-CN"/>
              </w:rPr>
              <w:t>一次性使用负压引流器1</w:t>
            </w:r>
          </w:p>
        </w:tc>
        <w:tc>
          <w:tcPr>
            <w:tcW w:w="1333" w:type="dxa"/>
            <w:vAlign w:val="center"/>
          </w:tcPr>
          <w:p w14:paraId="1ABC71DD">
            <w:pPr>
              <w:keepNext w:val="0"/>
              <w:keepLines w:val="0"/>
              <w:widowControl/>
              <w:suppressLineNumbers w:val="0"/>
              <w:jc w:val="center"/>
              <w:textAlignment w:val="center"/>
              <w:rPr>
                <w:rFonts w:hint="default" w:ascii="仿宋" w:hAnsi="仿宋" w:eastAsia="仿宋" w:cs="仿宋"/>
                <w:sz w:val="22"/>
                <w:szCs w:val="28"/>
                <w:lang w:val="en-US" w:eastAsia="zh-CN"/>
              </w:rPr>
            </w:pPr>
            <w:r>
              <w:rPr>
                <w:rFonts w:hint="default" w:ascii="仿宋" w:hAnsi="仿宋" w:eastAsia="仿宋" w:cs="仿宋"/>
                <w:sz w:val="22"/>
                <w:szCs w:val="28"/>
                <w:lang w:val="en-US" w:eastAsia="zh-CN"/>
              </w:rPr>
              <w:t>140</w:t>
            </w:r>
          </w:p>
        </w:tc>
        <w:tc>
          <w:tcPr>
            <w:tcW w:w="1402" w:type="dxa"/>
            <w:vAlign w:val="center"/>
          </w:tcPr>
          <w:p w14:paraId="41A1ECB2">
            <w:pPr>
              <w:keepNext w:val="0"/>
              <w:keepLines w:val="0"/>
              <w:widowControl/>
              <w:suppressLineNumbers w:val="0"/>
              <w:jc w:val="center"/>
              <w:textAlignment w:val="center"/>
              <w:rPr>
                <w:rFonts w:hint="eastAsia" w:ascii="仿宋" w:hAnsi="仿宋" w:eastAsia="仿宋" w:cs="仿宋"/>
                <w:sz w:val="22"/>
                <w:szCs w:val="28"/>
                <w:lang w:val="en-US" w:eastAsia="zh-CN"/>
              </w:rPr>
            </w:pPr>
            <w:r>
              <w:rPr>
                <w:rFonts w:hint="eastAsia" w:ascii="仿宋" w:hAnsi="仿宋" w:eastAsia="仿宋" w:cs="仿宋"/>
                <w:i w:val="0"/>
                <w:iCs w:val="0"/>
                <w:color w:val="000000"/>
                <w:kern w:val="0"/>
                <w:sz w:val="20"/>
                <w:szCs w:val="20"/>
                <w:u w:val="none"/>
                <w:lang w:val="en-US" w:eastAsia="zh-CN" w:bidi="ar"/>
              </w:rPr>
              <w:t>个</w:t>
            </w:r>
          </w:p>
        </w:tc>
        <w:tc>
          <w:tcPr>
            <w:tcW w:w="1710" w:type="dxa"/>
            <w:vAlign w:val="center"/>
          </w:tcPr>
          <w:p w14:paraId="37C070EA">
            <w:pPr>
              <w:keepNext w:val="0"/>
              <w:keepLines w:val="0"/>
              <w:widowControl/>
              <w:suppressLineNumbers w:val="0"/>
              <w:jc w:val="center"/>
              <w:textAlignment w:val="center"/>
              <w:rPr>
                <w:rFonts w:hint="eastAsia" w:ascii="仿宋" w:hAnsi="仿宋" w:eastAsia="仿宋" w:cs="仿宋"/>
                <w:sz w:val="22"/>
                <w:szCs w:val="28"/>
                <w:lang w:val="en-US" w:eastAsia="zh-CN"/>
              </w:rPr>
            </w:pPr>
            <w:r>
              <w:rPr>
                <w:rFonts w:hint="eastAsia" w:ascii="仿宋" w:hAnsi="仿宋" w:eastAsia="仿宋" w:cs="仿宋"/>
                <w:i w:val="0"/>
                <w:iCs w:val="0"/>
                <w:color w:val="000000"/>
                <w:kern w:val="0"/>
                <w:sz w:val="20"/>
                <w:szCs w:val="20"/>
                <w:u w:val="none"/>
                <w:lang w:val="en-US" w:eastAsia="zh-CN" w:bidi="ar"/>
              </w:rPr>
              <w:t>据实结算</w:t>
            </w:r>
          </w:p>
        </w:tc>
      </w:tr>
      <w:tr w14:paraId="53B086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662" w:type="dxa"/>
            <w:vMerge w:val="continue"/>
            <w:vAlign w:val="center"/>
          </w:tcPr>
          <w:p w14:paraId="2AA94721">
            <w:pPr>
              <w:pStyle w:val="5"/>
              <w:jc w:val="center"/>
              <w:rPr>
                <w:rFonts w:hint="eastAsia" w:ascii="仿宋" w:hAnsi="仿宋" w:eastAsia="仿宋" w:cs="仿宋"/>
                <w:sz w:val="21"/>
                <w:szCs w:val="21"/>
                <w:lang w:val="en-US" w:eastAsia="zh-CN"/>
              </w:rPr>
            </w:pPr>
          </w:p>
        </w:tc>
        <w:tc>
          <w:tcPr>
            <w:tcW w:w="816" w:type="dxa"/>
            <w:vAlign w:val="center"/>
          </w:tcPr>
          <w:p w14:paraId="3EA6FBFB">
            <w:pPr>
              <w:pStyle w:val="5"/>
              <w:jc w:val="center"/>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2</w:t>
            </w:r>
          </w:p>
        </w:tc>
        <w:tc>
          <w:tcPr>
            <w:tcW w:w="2619" w:type="dxa"/>
            <w:vAlign w:val="center"/>
          </w:tcPr>
          <w:p w14:paraId="00946D15">
            <w:pPr>
              <w:keepNext w:val="0"/>
              <w:keepLines w:val="0"/>
              <w:widowControl/>
              <w:suppressLineNumbers w:val="0"/>
              <w:jc w:val="center"/>
              <w:textAlignment w:val="center"/>
              <w:rPr>
                <w:rFonts w:hint="eastAsia" w:ascii="仿宋" w:hAnsi="仿宋" w:eastAsia="仿宋" w:cs="仿宋"/>
                <w:sz w:val="22"/>
                <w:szCs w:val="28"/>
                <w:lang w:val="en-US" w:eastAsia="zh-CN"/>
              </w:rPr>
            </w:pPr>
            <w:r>
              <w:rPr>
                <w:rFonts w:hint="eastAsia" w:ascii="仿宋" w:hAnsi="仿宋" w:eastAsia="仿宋" w:cs="仿宋"/>
                <w:sz w:val="22"/>
                <w:szCs w:val="28"/>
                <w:lang w:val="en-US" w:eastAsia="zh-CN"/>
              </w:rPr>
              <w:t>一次性使用负压引流器2</w:t>
            </w:r>
          </w:p>
        </w:tc>
        <w:tc>
          <w:tcPr>
            <w:tcW w:w="1333" w:type="dxa"/>
            <w:vAlign w:val="center"/>
          </w:tcPr>
          <w:p w14:paraId="7C213EE1">
            <w:pPr>
              <w:keepNext w:val="0"/>
              <w:keepLines w:val="0"/>
              <w:widowControl/>
              <w:suppressLineNumbers w:val="0"/>
              <w:jc w:val="center"/>
              <w:textAlignment w:val="center"/>
              <w:rPr>
                <w:rFonts w:hint="default" w:ascii="仿宋" w:hAnsi="仿宋" w:eastAsia="仿宋" w:cs="仿宋"/>
                <w:sz w:val="22"/>
                <w:szCs w:val="28"/>
                <w:lang w:val="en-US" w:eastAsia="zh-CN"/>
              </w:rPr>
            </w:pPr>
            <w:r>
              <w:rPr>
                <w:rFonts w:hint="eastAsia" w:ascii="仿宋" w:hAnsi="仿宋" w:eastAsia="仿宋" w:cs="仿宋"/>
                <w:i w:val="0"/>
                <w:iCs w:val="0"/>
                <w:color w:val="000000"/>
                <w:kern w:val="0"/>
                <w:sz w:val="20"/>
                <w:szCs w:val="20"/>
                <w:u w:val="none"/>
                <w:lang w:val="en-US" w:eastAsia="zh-CN" w:bidi="ar"/>
              </w:rPr>
              <w:t>176</w:t>
            </w:r>
          </w:p>
        </w:tc>
        <w:tc>
          <w:tcPr>
            <w:tcW w:w="1402" w:type="dxa"/>
            <w:vAlign w:val="center"/>
          </w:tcPr>
          <w:p w14:paraId="3376E688">
            <w:pPr>
              <w:keepNext w:val="0"/>
              <w:keepLines w:val="0"/>
              <w:widowControl/>
              <w:suppressLineNumbers w:val="0"/>
              <w:jc w:val="center"/>
              <w:textAlignment w:val="center"/>
              <w:rPr>
                <w:rFonts w:hint="eastAsia" w:ascii="仿宋" w:hAnsi="仿宋" w:eastAsia="仿宋" w:cs="仿宋"/>
                <w:sz w:val="22"/>
                <w:szCs w:val="28"/>
                <w:lang w:val="en-US" w:eastAsia="zh-CN"/>
              </w:rPr>
            </w:pPr>
            <w:r>
              <w:rPr>
                <w:rFonts w:hint="eastAsia" w:ascii="仿宋" w:hAnsi="仿宋" w:eastAsia="仿宋" w:cs="仿宋"/>
                <w:i w:val="0"/>
                <w:iCs w:val="0"/>
                <w:color w:val="000000"/>
                <w:kern w:val="0"/>
                <w:sz w:val="20"/>
                <w:szCs w:val="20"/>
                <w:u w:val="none"/>
                <w:lang w:val="en-US" w:eastAsia="zh-CN" w:bidi="ar"/>
              </w:rPr>
              <w:t>个</w:t>
            </w:r>
          </w:p>
        </w:tc>
        <w:tc>
          <w:tcPr>
            <w:tcW w:w="1710" w:type="dxa"/>
            <w:vAlign w:val="center"/>
          </w:tcPr>
          <w:p w14:paraId="24DDAF75">
            <w:pPr>
              <w:keepNext w:val="0"/>
              <w:keepLines w:val="0"/>
              <w:widowControl/>
              <w:suppressLineNumbers w:val="0"/>
              <w:jc w:val="center"/>
              <w:textAlignment w:val="center"/>
              <w:rPr>
                <w:rFonts w:hint="eastAsia" w:ascii="仿宋" w:hAnsi="仿宋" w:eastAsia="仿宋" w:cs="仿宋"/>
                <w:sz w:val="22"/>
                <w:szCs w:val="28"/>
                <w:lang w:val="en-US" w:eastAsia="zh-CN"/>
              </w:rPr>
            </w:pPr>
            <w:r>
              <w:rPr>
                <w:rFonts w:hint="eastAsia" w:ascii="仿宋" w:hAnsi="仿宋" w:eastAsia="仿宋" w:cs="仿宋"/>
                <w:i w:val="0"/>
                <w:iCs w:val="0"/>
                <w:color w:val="000000"/>
                <w:kern w:val="0"/>
                <w:sz w:val="20"/>
                <w:szCs w:val="20"/>
                <w:u w:val="none"/>
                <w:lang w:val="en-US" w:eastAsia="zh-CN" w:bidi="ar"/>
              </w:rPr>
              <w:t>据实结算</w:t>
            </w:r>
          </w:p>
        </w:tc>
      </w:tr>
    </w:tbl>
    <w:p w14:paraId="2809DE89">
      <w:pPr>
        <w:pStyle w:val="5"/>
        <w:ind w:firstLine="480"/>
        <w:jc w:val="left"/>
        <w:rPr>
          <w:rFonts w:hint="eastAsia" w:ascii="仿宋" w:hAnsi="仿宋" w:eastAsia="仿宋" w:cs="仿宋"/>
        </w:rPr>
      </w:pPr>
      <w:r>
        <w:rPr>
          <w:rFonts w:hint="eastAsia" w:ascii="仿宋" w:hAnsi="仿宋" w:eastAsia="仿宋" w:cs="仿宋"/>
        </w:rPr>
        <w:t>★注：</w:t>
      </w:r>
      <w:r>
        <w:rPr>
          <w:rFonts w:hint="eastAsia" w:ascii="仿宋" w:hAnsi="仿宋" w:eastAsia="仿宋" w:cs="仿宋"/>
          <w:lang w:eastAsia="zh-CN"/>
        </w:rPr>
        <w:t>竞选人</w:t>
      </w:r>
      <w:r>
        <w:rPr>
          <w:rFonts w:hint="eastAsia" w:ascii="仿宋" w:hAnsi="仿宋" w:eastAsia="仿宋" w:cs="仿宋"/>
        </w:rPr>
        <w:t>响应产品应当明确品牌和规格型号并指向唯一产品，不能指向唯一产品的，应通过报价表唯一产品说明栏补充说明。</w:t>
      </w:r>
    </w:p>
    <w:p w14:paraId="1E31294F">
      <w:pPr>
        <w:pStyle w:val="5"/>
        <w:jc w:val="left"/>
        <w:rPr>
          <w:rFonts w:hint="eastAsia" w:ascii="仿宋" w:hAnsi="仿宋" w:eastAsia="仿宋" w:cs="仿宋"/>
          <w:b/>
          <w:bCs/>
          <w:i w:val="0"/>
          <w:iCs w:val="0"/>
          <w:sz w:val="24"/>
          <w:szCs w:val="24"/>
        </w:rPr>
      </w:pPr>
    </w:p>
    <w:p w14:paraId="16843A48">
      <w:pPr>
        <w:pStyle w:val="5"/>
        <w:jc w:val="left"/>
        <w:rPr>
          <w:rFonts w:hint="eastAsia" w:ascii="仿宋" w:hAnsi="仿宋" w:eastAsia="仿宋" w:cs="仿宋"/>
        </w:rPr>
      </w:pPr>
    </w:p>
    <w:p w14:paraId="2110B413">
      <w:pPr>
        <w:pStyle w:val="5"/>
        <w:jc w:val="left"/>
        <w:outlineLvl w:val="2"/>
        <w:rPr>
          <w:rFonts w:hint="eastAsia" w:ascii="仿宋" w:hAnsi="仿宋" w:eastAsia="仿宋" w:cs="仿宋"/>
          <w:lang w:eastAsia="zh-CN"/>
        </w:rPr>
      </w:pPr>
      <w:r>
        <w:rPr>
          <w:rFonts w:hint="eastAsia" w:ascii="仿宋" w:hAnsi="仿宋" w:eastAsia="仿宋" w:cs="仿宋"/>
          <w:b/>
          <w:sz w:val="28"/>
        </w:rPr>
        <w:t>3.2.技术要求</w:t>
      </w:r>
    </w:p>
    <w:p w14:paraId="652C631E">
      <w:pPr>
        <w:pStyle w:val="5"/>
        <w:jc w:val="left"/>
        <w:rPr>
          <w:rFonts w:hint="eastAsia" w:ascii="仿宋" w:hAnsi="仿宋" w:eastAsia="仿宋" w:cs="仿宋"/>
          <w:b/>
          <w:bCs/>
          <w:sz w:val="22"/>
          <w:szCs w:val="22"/>
        </w:rPr>
      </w:pPr>
      <w:r>
        <w:rPr>
          <w:rFonts w:hint="eastAsia" w:ascii="仿宋" w:hAnsi="仿宋" w:eastAsia="仿宋" w:cs="仿宋"/>
          <w:b/>
          <w:bCs/>
          <w:sz w:val="22"/>
          <w:szCs w:val="22"/>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70"/>
        <w:gridCol w:w="1172"/>
        <w:gridCol w:w="1658"/>
        <w:gridCol w:w="3163"/>
        <w:gridCol w:w="1756"/>
      </w:tblGrid>
      <w:tr w14:paraId="249860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17" w:hRule="atLeast"/>
        </w:trPr>
        <w:tc>
          <w:tcPr>
            <w:tcW w:w="770" w:type="dxa"/>
            <w:vAlign w:val="center"/>
          </w:tcPr>
          <w:p w14:paraId="77DC9A91">
            <w:pPr>
              <w:pStyle w:val="5"/>
              <w:jc w:val="center"/>
              <w:rPr>
                <w:rFonts w:hint="eastAsia" w:ascii="仿宋" w:hAnsi="仿宋" w:eastAsia="仿宋" w:cs="仿宋"/>
              </w:rPr>
            </w:pPr>
            <w:r>
              <w:rPr>
                <w:rFonts w:hint="eastAsia" w:ascii="仿宋" w:hAnsi="仿宋" w:eastAsia="仿宋" w:cs="仿宋"/>
              </w:rPr>
              <w:t>序号</w:t>
            </w:r>
          </w:p>
        </w:tc>
        <w:tc>
          <w:tcPr>
            <w:tcW w:w="1172" w:type="dxa"/>
            <w:vAlign w:val="center"/>
          </w:tcPr>
          <w:p w14:paraId="2B68B8F9">
            <w:pPr>
              <w:pStyle w:val="5"/>
              <w:jc w:val="center"/>
              <w:rPr>
                <w:rFonts w:hint="eastAsia" w:ascii="仿宋" w:hAnsi="仿宋" w:eastAsia="仿宋" w:cs="仿宋"/>
              </w:rPr>
            </w:pPr>
            <w:r>
              <w:rPr>
                <w:rFonts w:hint="eastAsia" w:ascii="仿宋" w:hAnsi="仿宋" w:eastAsia="仿宋" w:cs="仿宋"/>
                <w:lang w:val="en-US" w:eastAsia="zh-CN"/>
              </w:rPr>
              <w:t>名称</w:t>
            </w:r>
          </w:p>
        </w:tc>
        <w:tc>
          <w:tcPr>
            <w:tcW w:w="1658" w:type="dxa"/>
            <w:vAlign w:val="center"/>
          </w:tcPr>
          <w:p w14:paraId="757C395A">
            <w:pPr>
              <w:pStyle w:val="5"/>
              <w:jc w:val="center"/>
              <w:rPr>
                <w:rFonts w:hint="eastAsia" w:ascii="仿宋" w:hAnsi="仿宋" w:eastAsia="仿宋" w:cs="仿宋"/>
              </w:rPr>
            </w:pPr>
            <w:r>
              <w:rPr>
                <w:rFonts w:hint="eastAsia" w:ascii="仿宋" w:hAnsi="仿宋" w:eastAsia="仿宋" w:cs="仿宋"/>
              </w:rPr>
              <w:t>★</w:t>
            </w:r>
            <w:r>
              <w:rPr>
                <w:rFonts w:hint="eastAsia" w:ascii="仿宋" w:hAnsi="仿宋" w:eastAsia="仿宋" w:cs="仿宋"/>
                <w:lang w:val="en-US" w:eastAsia="zh-CN"/>
              </w:rPr>
              <w:t>医保耗材代码</w:t>
            </w:r>
          </w:p>
        </w:tc>
        <w:tc>
          <w:tcPr>
            <w:tcW w:w="3163" w:type="dxa"/>
            <w:vAlign w:val="center"/>
          </w:tcPr>
          <w:p w14:paraId="485E1BF1">
            <w:pPr>
              <w:pStyle w:val="5"/>
              <w:jc w:val="center"/>
              <w:rPr>
                <w:rFonts w:hint="eastAsia" w:ascii="仿宋" w:hAnsi="仿宋" w:eastAsia="仿宋" w:cs="仿宋"/>
              </w:rPr>
            </w:pPr>
            <w:r>
              <w:rPr>
                <w:rFonts w:hint="eastAsia" w:ascii="仿宋" w:hAnsi="仿宋" w:eastAsia="仿宋" w:cs="仿宋"/>
              </w:rPr>
              <w:t>★</w:t>
            </w:r>
            <w:r>
              <w:rPr>
                <w:rFonts w:hint="eastAsia" w:ascii="仿宋" w:hAnsi="仿宋" w:eastAsia="仿宋" w:cs="仿宋"/>
                <w:lang w:val="en-US" w:eastAsia="zh-CN"/>
              </w:rPr>
              <w:t>用途</w:t>
            </w:r>
          </w:p>
        </w:tc>
        <w:tc>
          <w:tcPr>
            <w:tcW w:w="1756" w:type="dxa"/>
            <w:vAlign w:val="center"/>
          </w:tcPr>
          <w:p w14:paraId="5352669A">
            <w:pPr>
              <w:pStyle w:val="5"/>
              <w:jc w:val="center"/>
              <w:rPr>
                <w:rFonts w:hint="eastAsia" w:ascii="仿宋" w:hAnsi="仿宋" w:eastAsia="仿宋" w:cs="仿宋"/>
                <w:lang w:val="en-US" w:eastAsia="zh-CN"/>
              </w:rPr>
            </w:pPr>
            <w:r>
              <w:rPr>
                <w:rFonts w:hint="eastAsia" w:ascii="仿宋" w:hAnsi="仿宋" w:eastAsia="仿宋" w:cs="仿宋"/>
                <w:lang w:val="en-US" w:eastAsia="zh-CN"/>
              </w:rPr>
              <w:t>参考型号</w:t>
            </w:r>
          </w:p>
        </w:tc>
      </w:tr>
      <w:tr w14:paraId="340E9A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770" w:type="dxa"/>
            <w:vAlign w:val="center"/>
          </w:tcPr>
          <w:p w14:paraId="018B0C67">
            <w:pPr>
              <w:pStyle w:val="5"/>
              <w:jc w:val="center"/>
              <w:rPr>
                <w:rFonts w:hint="eastAsia" w:ascii="仿宋" w:hAnsi="仿宋" w:eastAsia="仿宋" w:cs="仿宋"/>
                <w:sz w:val="21"/>
                <w:szCs w:val="21"/>
              </w:rPr>
            </w:pPr>
            <w:r>
              <w:rPr>
                <w:rFonts w:hint="eastAsia" w:ascii="仿宋" w:hAnsi="仿宋" w:eastAsia="仿宋" w:cs="仿宋"/>
                <w:sz w:val="21"/>
                <w:szCs w:val="21"/>
                <w:lang w:val="en-US" w:eastAsia="zh-CN"/>
              </w:rPr>
              <w:t>1</w:t>
            </w:r>
          </w:p>
        </w:tc>
        <w:tc>
          <w:tcPr>
            <w:tcW w:w="1172" w:type="dxa"/>
            <w:vAlign w:val="center"/>
          </w:tcPr>
          <w:p w14:paraId="633848DD">
            <w:pPr>
              <w:keepNext w:val="0"/>
              <w:keepLines w:val="0"/>
              <w:widowControl/>
              <w:suppressLineNumbers w:val="0"/>
              <w:jc w:val="center"/>
              <w:textAlignment w:val="center"/>
              <w:rPr>
                <w:rFonts w:hint="default" w:ascii="仿宋" w:hAnsi="仿宋" w:eastAsia="仿宋" w:cs="仿宋"/>
                <w:sz w:val="22"/>
                <w:szCs w:val="28"/>
                <w:lang w:val="en-US"/>
              </w:rPr>
            </w:pPr>
            <w:r>
              <w:rPr>
                <w:rFonts w:hint="eastAsia" w:ascii="仿宋" w:hAnsi="仿宋" w:eastAsia="仿宋" w:cs="仿宋"/>
                <w:sz w:val="22"/>
                <w:szCs w:val="28"/>
                <w:lang w:val="en-US" w:eastAsia="zh-CN"/>
              </w:rPr>
              <w:t>一次性使用负压引流器1</w:t>
            </w:r>
          </w:p>
        </w:tc>
        <w:tc>
          <w:tcPr>
            <w:tcW w:w="1658" w:type="dxa"/>
            <w:vAlign w:val="center"/>
          </w:tcPr>
          <w:p w14:paraId="6690864C">
            <w:pPr>
              <w:keepNext w:val="0"/>
              <w:keepLines w:val="0"/>
              <w:widowControl/>
              <w:suppressLineNumbers w:val="0"/>
              <w:jc w:val="center"/>
              <w:textAlignment w:val="center"/>
              <w:rPr>
                <w:rFonts w:hint="eastAsia" w:ascii="仿宋" w:hAnsi="仿宋" w:eastAsia="仿宋" w:cs="仿宋"/>
                <w:sz w:val="22"/>
                <w:szCs w:val="28"/>
              </w:rPr>
            </w:pPr>
            <w:r>
              <w:rPr>
                <w:rFonts w:hint="eastAsia" w:ascii="仿宋" w:hAnsi="仿宋" w:eastAsia="仿宋" w:cs="仿宋"/>
                <w:sz w:val="22"/>
                <w:szCs w:val="28"/>
                <w:lang w:val="en-US" w:eastAsia="zh-CN"/>
              </w:rPr>
              <w:t>C141715035</w:t>
            </w:r>
          </w:p>
        </w:tc>
        <w:tc>
          <w:tcPr>
            <w:tcW w:w="3163" w:type="dxa"/>
            <w:vAlign w:val="center"/>
          </w:tcPr>
          <w:p w14:paraId="61665FED">
            <w:pPr>
              <w:keepNext w:val="0"/>
              <w:keepLines w:val="0"/>
              <w:widowControl/>
              <w:suppressLineNumbers w:val="0"/>
              <w:jc w:val="left"/>
              <w:textAlignment w:val="center"/>
              <w:rPr>
                <w:rFonts w:hint="eastAsia" w:ascii="仿宋" w:hAnsi="仿宋" w:eastAsia="仿宋" w:cs="仿宋"/>
                <w:sz w:val="22"/>
                <w:szCs w:val="28"/>
              </w:rPr>
            </w:pPr>
            <w:r>
              <w:rPr>
                <w:rFonts w:hint="eastAsia" w:ascii="仿宋" w:hAnsi="仿宋" w:eastAsia="仿宋" w:cs="仿宋"/>
                <w:sz w:val="22"/>
                <w:szCs w:val="28"/>
                <w:lang w:val="en-US" w:eastAsia="zh-CN"/>
              </w:rPr>
              <w:t>适用于体表创伤或切口引流</w:t>
            </w:r>
          </w:p>
        </w:tc>
        <w:tc>
          <w:tcPr>
            <w:tcW w:w="1756" w:type="dxa"/>
            <w:vAlign w:val="center"/>
          </w:tcPr>
          <w:p w14:paraId="015FCBC3">
            <w:pPr>
              <w:keepNext w:val="0"/>
              <w:keepLines w:val="0"/>
              <w:widowControl/>
              <w:suppressLineNumbers w:val="0"/>
              <w:jc w:val="left"/>
              <w:textAlignment w:val="center"/>
              <w:rPr>
                <w:rFonts w:hint="default" w:ascii="仿宋" w:hAnsi="仿宋" w:eastAsia="仿宋" w:cs="仿宋"/>
                <w:sz w:val="22"/>
                <w:szCs w:val="28"/>
                <w:lang w:val="en-US" w:eastAsia="zh-CN"/>
              </w:rPr>
            </w:pPr>
            <w:r>
              <w:rPr>
                <w:rFonts w:hint="default" w:ascii="仿宋" w:hAnsi="仿宋" w:eastAsia="仿宋" w:cs="仿宋"/>
                <w:sz w:val="22"/>
                <w:szCs w:val="28"/>
                <w:lang w:val="en-US" w:eastAsia="zh-CN"/>
              </w:rPr>
              <w:t>手榴弹型，容量200ml</w:t>
            </w:r>
          </w:p>
        </w:tc>
      </w:tr>
      <w:tr w14:paraId="440B426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770" w:type="dxa"/>
            <w:vAlign w:val="center"/>
          </w:tcPr>
          <w:p w14:paraId="6EBF6280">
            <w:pPr>
              <w:pStyle w:val="5"/>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2</w:t>
            </w:r>
          </w:p>
        </w:tc>
        <w:tc>
          <w:tcPr>
            <w:tcW w:w="1172" w:type="dxa"/>
            <w:vAlign w:val="center"/>
          </w:tcPr>
          <w:p w14:paraId="5DFCC3CB">
            <w:pPr>
              <w:keepNext w:val="0"/>
              <w:keepLines w:val="0"/>
              <w:widowControl/>
              <w:suppressLineNumbers w:val="0"/>
              <w:jc w:val="center"/>
              <w:textAlignment w:val="center"/>
              <w:rPr>
                <w:rFonts w:hint="default" w:ascii="仿宋" w:hAnsi="仿宋" w:eastAsia="仿宋" w:cs="仿宋"/>
                <w:sz w:val="22"/>
                <w:szCs w:val="28"/>
                <w:lang w:val="en-US" w:eastAsia="zh-CN"/>
              </w:rPr>
            </w:pPr>
            <w:r>
              <w:rPr>
                <w:rFonts w:hint="eastAsia" w:ascii="仿宋" w:hAnsi="仿宋" w:eastAsia="仿宋" w:cs="仿宋"/>
                <w:sz w:val="22"/>
                <w:szCs w:val="28"/>
                <w:lang w:val="en-US" w:eastAsia="zh-CN"/>
              </w:rPr>
              <w:t>一次性使用负压引流器2</w:t>
            </w:r>
          </w:p>
        </w:tc>
        <w:tc>
          <w:tcPr>
            <w:tcW w:w="1658" w:type="dxa"/>
            <w:vAlign w:val="center"/>
          </w:tcPr>
          <w:p w14:paraId="442803EC">
            <w:pPr>
              <w:keepNext w:val="0"/>
              <w:keepLines w:val="0"/>
              <w:widowControl/>
              <w:suppressLineNumbers w:val="0"/>
              <w:jc w:val="center"/>
              <w:textAlignment w:val="center"/>
              <w:rPr>
                <w:rFonts w:hint="eastAsia" w:ascii="仿宋" w:hAnsi="仿宋" w:eastAsia="仿宋" w:cs="仿宋"/>
                <w:sz w:val="22"/>
                <w:szCs w:val="28"/>
                <w:lang w:val="en-US" w:eastAsia="zh-CN"/>
              </w:rPr>
            </w:pPr>
            <w:r>
              <w:rPr>
                <w:rFonts w:hint="eastAsia" w:ascii="仿宋" w:hAnsi="仿宋" w:eastAsia="仿宋" w:cs="仿宋"/>
                <w:sz w:val="22"/>
                <w:szCs w:val="28"/>
                <w:lang w:val="en-US" w:eastAsia="zh-CN"/>
              </w:rPr>
              <w:t>C141715035</w:t>
            </w:r>
          </w:p>
        </w:tc>
        <w:tc>
          <w:tcPr>
            <w:tcW w:w="3163" w:type="dxa"/>
            <w:vAlign w:val="center"/>
          </w:tcPr>
          <w:p w14:paraId="2573EC8D">
            <w:pPr>
              <w:keepNext w:val="0"/>
              <w:keepLines w:val="0"/>
              <w:widowControl/>
              <w:suppressLineNumbers w:val="0"/>
              <w:jc w:val="left"/>
              <w:textAlignment w:val="center"/>
              <w:rPr>
                <w:rFonts w:hint="eastAsia" w:ascii="仿宋" w:hAnsi="仿宋" w:eastAsia="仿宋" w:cs="仿宋"/>
                <w:sz w:val="22"/>
                <w:szCs w:val="28"/>
                <w:lang w:val="en-US" w:eastAsia="zh-CN"/>
              </w:rPr>
            </w:pPr>
            <w:r>
              <w:rPr>
                <w:rFonts w:hint="eastAsia" w:ascii="仿宋" w:hAnsi="仿宋" w:eastAsia="仿宋" w:cs="仿宋"/>
                <w:sz w:val="22"/>
                <w:szCs w:val="28"/>
                <w:lang w:val="en-US" w:eastAsia="zh-CN"/>
              </w:rPr>
              <w:t>适用于体表创伤或切口引流</w:t>
            </w:r>
          </w:p>
        </w:tc>
        <w:tc>
          <w:tcPr>
            <w:tcW w:w="1756" w:type="dxa"/>
            <w:vAlign w:val="center"/>
          </w:tcPr>
          <w:p w14:paraId="50C5FF58">
            <w:pPr>
              <w:keepNext w:val="0"/>
              <w:keepLines w:val="0"/>
              <w:widowControl/>
              <w:suppressLineNumbers w:val="0"/>
              <w:jc w:val="left"/>
              <w:textAlignment w:val="center"/>
              <w:rPr>
                <w:rFonts w:hint="default" w:ascii="仿宋" w:hAnsi="仿宋" w:eastAsia="仿宋" w:cs="仿宋"/>
                <w:sz w:val="22"/>
                <w:szCs w:val="28"/>
                <w:lang w:val="en-US" w:eastAsia="zh-CN"/>
              </w:rPr>
            </w:pPr>
            <w:r>
              <w:rPr>
                <w:rFonts w:hint="default" w:ascii="仿宋" w:hAnsi="仿宋" w:eastAsia="仿宋" w:cs="仿宋"/>
                <w:sz w:val="22"/>
                <w:szCs w:val="28"/>
                <w:lang w:val="en-US" w:eastAsia="zh-CN"/>
              </w:rPr>
              <w:t>手榴弹型，容量400ml</w:t>
            </w:r>
          </w:p>
        </w:tc>
      </w:tr>
    </w:tbl>
    <w:p w14:paraId="161FCF8B">
      <w:pPr>
        <w:pStyle w:val="5"/>
        <w:jc w:val="left"/>
        <w:outlineLvl w:val="9"/>
        <w:rPr>
          <w:rFonts w:hint="eastAsia" w:ascii="仿宋" w:hAnsi="仿宋" w:eastAsia="仿宋" w:cs="仿宋"/>
          <w:color w:val="auto"/>
          <w:kern w:val="2"/>
          <w:sz w:val="24"/>
          <w:szCs w:val="24"/>
          <w:highlight w:val="none"/>
          <w:shd w:val="clear" w:color="auto" w:fill="auto"/>
          <w:lang w:val="en-US" w:eastAsia="zh-CN" w:bidi="ar-SA"/>
        </w:rPr>
      </w:pPr>
      <w:r>
        <w:rPr>
          <w:rFonts w:hint="eastAsia" w:ascii="仿宋" w:hAnsi="仿宋" w:eastAsia="仿宋" w:cs="仿宋"/>
          <w:color w:val="auto"/>
          <w:kern w:val="2"/>
          <w:sz w:val="24"/>
          <w:szCs w:val="24"/>
          <w:highlight w:val="none"/>
          <w:shd w:val="clear" w:color="auto" w:fill="auto"/>
          <w:lang w:val="en-US" w:eastAsia="zh-CN" w:bidi="ar-SA"/>
        </w:rPr>
        <w:t>备注：如现场供应商提供产品与采购文件要求医保耗材代码不一致，但经评审专家现场审核样品后确定，该产品符合临床实际需求，且该产品注册证上的适应症及医疗器械管理分类目录的管理类别均满足需求，与则本次项目取消医用耗材代码实质性要求后重新挂网。</w:t>
      </w:r>
    </w:p>
    <w:p w14:paraId="00EB9450">
      <w:pPr>
        <w:pStyle w:val="5"/>
        <w:jc w:val="left"/>
        <w:outlineLvl w:val="9"/>
        <w:rPr>
          <w:rFonts w:hint="eastAsia" w:ascii="仿宋" w:hAnsi="仿宋" w:eastAsia="仿宋" w:cs="仿宋"/>
          <w:b/>
          <w:sz w:val="28"/>
        </w:rPr>
      </w:pPr>
    </w:p>
    <w:p w14:paraId="637A942A">
      <w:pPr>
        <w:keepNext w:val="0"/>
        <w:keepLines w:val="0"/>
        <w:pageBreakBefore w:val="0"/>
        <w:widowControl w:val="0"/>
        <w:kinsoku/>
        <w:wordWrap/>
        <w:overflowPunct/>
        <w:topLinePunct w:val="0"/>
        <w:autoSpaceDE/>
        <w:autoSpaceDN/>
        <w:bidi w:val="0"/>
        <w:adjustRightInd/>
        <w:snapToGrid/>
        <w:spacing w:line="480" w:lineRule="auto"/>
        <w:ind w:firstLine="0" w:firstLineChars="0"/>
        <w:textAlignment w:val="auto"/>
        <w:rPr>
          <w:rFonts w:hint="eastAsia" w:ascii="仿宋" w:hAnsi="仿宋" w:eastAsia="仿宋" w:cs="仿宋"/>
          <w:b/>
          <w:bCs/>
          <w:color w:val="000000"/>
          <w:sz w:val="28"/>
          <w:szCs w:val="28"/>
          <w:lang w:val="en-US" w:eastAsia="zh-CN"/>
        </w:rPr>
      </w:pPr>
      <w:r>
        <w:rPr>
          <w:rFonts w:hint="eastAsia" w:ascii="Times New Roman" w:hAnsi="Times New Roman" w:eastAsia="仿宋" w:cs="Times New Roman"/>
          <w:b/>
          <w:bCs/>
          <w:color w:val="auto"/>
          <w:sz w:val="22"/>
          <w:szCs w:val="22"/>
          <w:highlight w:val="none"/>
          <w:shd w:val="clear" w:color="auto" w:fill="auto"/>
          <w:lang w:val="en-US" w:eastAsia="zh-CN"/>
        </w:rPr>
        <w:t>★</w:t>
      </w:r>
      <w:r>
        <w:rPr>
          <w:rFonts w:hint="eastAsia" w:ascii="仿宋" w:hAnsi="仿宋" w:eastAsia="仿宋" w:cs="仿宋"/>
          <w:b/>
          <w:sz w:val="28"/>
        </w:rPr>
        <w:t>3.3.</w:t>
      </w:r>
      <w:r>
        <w:rPr>
          <w:rFonts w:hint="eastAsia" w:ascii="仿宋" w:hAnsi="仿宋" w:eastAsia="仿宋" w:cs="仿宋"/>
          <w:b/>
          <w:sz w:val="28"/>
          <w:lang w:val="en-US" w:eastAsia="zh-CN"/>
        </w:rPr>
        <w:t>项目采购要求</w:t>
      </w:r>
    </w:p>
    <w:p w14:paraId="18C5AEDE">
      <w:pPr>
        <w:keepNext w:val="0"/>
        <w:keepLines w:val="0"/>
        <w:pageBreakBefore w:val="0"/>
        <w:widowControl w:val="0"/>
        <w:kinsoku/>
        <w:wordWrap/>
        <w:overflowPunct/>
        <w:topLinePunct w:val="0"/>
        <w:autoSpaceDE/>
        <w:autoSpaceDN/>
        <w:bidi w:val="0"/>
        <w:adjustRightInd/>
        <w:snapToGrid/>
        <w:spacing w:line="480" w:lineRule="auto"/>
        <w:ind w:firstLine="0" w:firstLineChars="0"/>
        <w:textAlignment w:val="auto"/>
        <w:rPr>
          <w:rFonts w:hint="eastAsia" w:ascii="仿宋" w:hAnsi="仿宋" w:eastAsia="仿宋" w:cs="仿宋"/>
          <w:b/>
          <w:sz w:val="28"/>
          <w:lang w:val="en-US" w:eastAsia="zh-CN"/>
        </w:rPr>
      </w:pPr>
      <w:r>
        <w:rPr>
          <w:rFonts w:hint="eastAsia" w:ascii="仿宋" w:hAnsi="仿宋" w:eastAsia="仿宋" w:cs="仿宋"/>
          <w:b/>
          <w:sz w:val="28"/>
          <w:lang w:val="en-US" w:eastAsia="zh-CN"/>
        </w:rPr>
        <w:t>一、挂网需求</w:t>
      </w:r>
    </w:p>
    <w:p w14:paraId="062B2DEF">
      <w:pPr>
        <w:ind w:firstLine="440" w:firstLineChars="200"/>
        <w:jc w:val="left"/>
        <w:textAlignment w:val="center"/>
        <w:rPr>
          <w:rFonts w:hint="eastAsia"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本项目所有标的均须提供挂网产品。</w:t>
      </w:r>
    </w:p>
    <w:p w14:paraId="3AF94703">
      <w:pPr>
        <w:ind w:firstLine="440" w:firstLineChars="200"/>
        <w:jc w:val="left"/>
        <w:textAlignment w:val="center"/>
        <w:rPr>
          <w:rFonts w:hint="default"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注：本项目中所指“挂网产品”，为“四川省药品和医用耗材招采管理系统”中已挂网产品（不含正在挂网和备案的产品）。</w:t>
      </w:r>
    </w:p>
    <w:p w14:paraId="64043515">
      <w:pPr>
        <w:keepNext w:val="0"/>
        <w:keepLines w:val="0"/>
        <w:pageBreakBefore w:val="0"/>
        <w:widowControl w:val="0"/>
        <w:kinsoku/>
        <w:wordWrap/>
        <w:overflowPunct/>
        <w:topLinePunct w:val="0"/>
        <w:autoSpaceDE/>
        <w:autoSpaceDN/>
        <w:bidi w:val="0"/>
        <w:adjustRightInd/>
        <w:snapToGrid/>
        <w:spacing w:line="480" w:lineRule="auto"/>
        <w:ind w:firstLine="0" w:firstLineChars="0"/>
        <w:textAlignment w:val="auto"/>
        <w:rPr>
          <w:rFonts w:hint="eastAsia" w:ascii="仿宋" w:hAnsi="仿宋" w:eastAsia="仿宋" w:cs="仿宋"/>
          <w:b/>
          <w:sz w:val="28"/>
          <w:lang w:val="en-US" w:eastAsia="zh-CN"/>
        </w:rPr>
      </w:pPr>
      <w:r>
        <w:rPr>
          <w:rFonts w:hint="eastAsia" w:ascii="仿宋" w:hAnsi="仿宋" w:eastAsia="仿宋" w:cs="仿宋"/>
          <w:b/>
          <w:sz w:val="28"/>
          <w:lang w:val="en-US" w:eastAsia="zh-CN"/>
        </w:rPr>
        <w:t>二、样品要求</w:t>
      </w:r>
    </w:p>
    <w:p w14:paraId="5854DC96">
      <w:pPr>
        <w:ind w:firstLine="440" w:firstLineChars="200"/>
        <w:jc w:val="left"/>
        <w:textAlignment w:val="center"/>
        <w:rPr>
          <w:rFonts w:hint="default"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1.必须提供样品，以供评审专家现场评审（如样品和标的产品有同一材质的，投标人可提供承诺函证明标的产品与样品为同一材质，则无需提供所有标的产品作为样品）。</w:t>
      </w:r>
    </w:p>
    <w:p w14:paraId="101ECBA8">
      <w:pPr>
        <w:ind w:firstLine="440" w:firstLineChars="200"/>
        <w:jc w:val="left"/>
        <w:textAlignment w:val="center"/>
        <w:rPr>
          <w:rFonts w:hint="eastAsia"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2.提交的样品不符合实际需求或存在原理错误则视为无效响应。</w:t>
      </w:r>
    </w:p>
    <w:p w14:paraId="4FA8F906">
      <w:pPr>
        <w:ind w:firstLine="440" w:firstLineChars="200"/>
        <w:jc w:val="left"/>
        <w:textAlignment w:val="center"/>
        <w:rPr>
          <w:rFonts w:hint="eastAsia"/>
          <w:lang w:val="en-US" w:eastAsia="zh-CN"/>
        </w:rPr>
      </w:pPr>
      <w:r>
        <w:rPr>
          <w:rFonts w:hint="eastAsia" w:ascii="仿宋" w:hAnsi="仿宋" w:eastAsia="仿宋" w:cs="仿宋"/>
          <w:b w:val="0"/>
          <w:bCs w:val="0"/>
          <w:color w:val="000000"/>
          <w:kern w:val="0"/>
          <w:sz w:val="22"/>
          <w:szCs w:val="22"/>
          <w:u w:val="none"/>
          <w:lang w:val="en-US" w:eastAsia="zh-CN" w:bidi="ar"/>
        </w:rPr>
        <w:t>3.本项目竞选人提供的样品，应与该竞选人响应文件保持一致（具体参考《医疗器械说明书和标签管理规定》）。</w:t>
      </w:r>
    </w:p>
    <w:p w14:paraId="2506F2BD">
      <w:pPr>
        <w:keepNext w:val="0"/>
        <w:keepLines w:val="0"/>
        <w:pageBreakBefore w:val="0"/>
        <w:widowControl w:val="0"/>
        <w:kinsoku/>
        <w:wordWrap/>
        <w:overflowPunct/>
        <w:topLinePunct w:val="0"/>
        <w:autoSpaceDE/>
        <w:autoSpaceDN/>
        <w:bidi w:val="0"/>
        <w:adjustRightInd/>
        <w:snapToGrid/>
        <w:spacing w:line="480" w:lineRule="auto"/>
        <w:ind w:firstLine="0" w:firstLineChars="0"/>
        <w:textAlignment w:val="auto"/>
        <w:rPr>
          <w:rFonts w:hint="default" w:ascii="仿宋" w:hAnsi="仿宋" w:eastAsia="仿宋" w:cs="仿宋"/>
          <w:b/>
          <w:bCs/>
          <w:color w:val="000000"/>
          <w:sz w:val="24"/>
          <w:szCs w:val="24"/>
          <w:lang w:val="en-US" w:eastAsia="zh-CN"/>
        </w:rPr>
      </w:pPr>
      <w:r>
        <w:rPr>
          <w:rFonts w:hint="eastAsia" w:ascii="仿宋" w:hAnsi="仿宋" w:eastAsia="仿宋" w:cs="仿宋"/>
          <w:b/>
          <w:sz w:val="28"/>
          <w:lang w:val="en-US" w:eastAsia="zh-CN"/>
        </w:rPr>
        <w:t>三、商务</w:t>
      </w:r>
      <w:r>
        <w:rPr>
          <w:rFonts w:hint="eastAsia" w:ascii="仿宋" w:hAnsi="仿宋" w:eastAsia="仿宋" w:cs="仿宋"/>
          <w:b/>
          <w:sz w:val="28"/>
        </w:rPr>
        <w:t>要求</w:t>
      </w:r>
      <w:r>
        <w:rPr>
          <w:rFonts w:hint="eastAsia" w:ascii="仿宋" w:hAnsi="仿宋" w:eastAsia="仿宋" w:cs="仿宋"/>
          <w:b/>
          <w:bCs/>
          <w:color w:val="000000"/>
          <w:sz w:val="28"/>
          <w:szCs w:val="28"/>
          <w:lang w:val="en-US" w:eastAsia="zh-CN"/>
        </w:rPr>
        <w:t>：</w:t>
      </w:r>
    </w:p>
    <w:p w14:paraId="2BE95820">
      <w:pPr>
        <w:keepNext w:val="0"/>
        <w:keepLines w:val="0"/>
        <w:pageBreakBefore w:val="0"/>
        <w:widowControl w:val="0"/>
        <w:kinsoku/>
        <w:wordWrap/>
        <w:overflowPunct/>
        <w:topLinePunct w:val="0"/>
        <w:autoSpaceDE/>
        <w:autoSpaceDN/>
        <w:bidi w:val="0"/>
        <w:adjustRightInd/>
        <w:snapToGrid/>
        <w:spacing w:line="240" w:lineRule="exact"/>
        <w:ind w:firstLine="420" w:firstLineChars="0"/>
        <w:textAlignment w:val="auto"/>
        <w:rPr>
          <w:rFonts w:hint="eastAsia" w:ascii="仿宋" w:hAnsi="仿宋" w:eastAsia="仿宋" w:cs="仿宋"/>
          <w:b/>
          <w:bCs/>
          <w:color w:val="000000"/>
          <w:sz w:val="24"/>
          <w:szCs w:val="24"/>
          <w:lang w:val="en-US" w:eastAsia="zh-CN"/>
        </w:rPr>
      </w:pPr>
      <w:r>
        <w:rPr>
          <w:rFonts w:hint="eastAsia" w:ascii="仿宋" w:hAnsi="仿宋" w:eastAsia="仿宋" w:cs="仿宋"/>
          <w:b/>
          <w:bCs/>
          <w:color w:val="000000"/>
          <w:sz w:val="24"/>
          <w:szCs w:val="24"/>
          <w:lang w:val="en-US" w:eastAsia="zh-CN"/>
        </w:rPr>
        <w:t>1.交货期及地点</w:t>
      </w:r>
    </w:p>
    <w:p w14:paraId="32B92761">
      <w:pPr>
        <w:ind w:firstLine="440" w:firstLineChars="200"/>
        <w:jc w:val="left"/>
        <w:textAlignment w:val="center"/>
        <w:rPr>
          <w:rFonts w:hint="eastAsia"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（1）交货期：每次配送时间必须严格按照采购人配送通知执行，中标人应于收到通知后2小时内响应。急救耗材的配送时间不应超过4小时，一般耗材原则上的配送时间不应超过2个工作日；</w:t>
      </w:r>
    </w:p>
    <w:p w14:paraId="686C1F1D">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（2）交货地点：内江</w:t>
      </w:r>
      <w:r>
        <w:rPr>
          <w:rFonts w:hint="eastAsia" w:ascii="仿宋" w:hAnsi="仿宋" w:eastAsia="仿宋" w:cs="仿宋"/>
          <w:color w:val="000000"/>
          <w:kern w:val="0"/>
          <w:sz w:val="22"/>
          <w:szCs w:val="22"/>
          <w:u w:val="none"/>
          <w:lang w:val="en-US" w:eastAsia="zh-CN" w:bidi="ar"/>
        </w:rPr>
        <w:t>市第一人民医院指定地点。</w:t>
      </w:r>
    </w:p>
    <w:p w14:paraId="7B23F27A">
      <w:pPr>
        <w:pStyle w:val="5"/>
        <w:ind w:firstLine="480"/>
        <w:jc w:val="left"/>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2.付款方法和条件</w:t>
      </w:r>
    </w:p>
    <w:p w14:paraId="46872146">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（1）结算方式：货款按实结算且由双方协商决定；</w:t>
      </w:r>
    </w:p>
    <w:p w14:paraId="0AFA9319">
      <w:pPr>
        <w:ind w:firstLine="440" w:firstLineChars="200"/>
        <w:jc w:val="left"/>
        <w:textAlignment w:val="center"/>
        <w:rPr>
          <w:rFonts w:hint="eastAsia" w:ascii="仿宋" w:hAnsi="仿宋" w:eastAsia="仿宋" w:cs="仿宋"/>
          <w:sz w:val="24"/>
          <w:szCs w:val="24"/>
          <w:lang w:val="en-US" w:eastAsia="zh-CN"/>
        </w:rPr>
      </w:pPr>
      <w:r>
        <w:rPr>
          <w:rFonts w:hint="eastAsia" w:ascii="仿宋" w:hAnsi="仿宋" w:eastAsia="仿宋" w:cs="仿宋"/>
          <w:color w:val="000000"/>
          <w:kern w:val="0"/>
          <w:sz w:val="22"/>
          <w:szCs w:val="22"/>
          <w:u w:val="none"/>
          <w:lang w:val="en-US" w:eastAsia="zh-CN" w:bidi="ar"/>
        </w:rPr>
        <w:t>（2）成交价格包含成本、运输、包装、培训、配送、伴随服务、税费及其他附加费用</w:t>
      </w:r>
      <w:r>
        <w:rPr>
          <w:rFonts w:hint="eastAsia" w:ascii="仿宋" w:hAnsi="仿宋" w:eastAsia="仿宋" w:cs="仿宋"/>
          <w:sz w:val="24"/>
          <w:szCs w:val="24"/>
          <w:lang w:val="en-US" w:eastAsia="zh-CN"/>
        </w:rPr>
        <w:t>。</w:t>
      </w:r>
    </w:p>
    <w:p w14:paraId="3B7C3C97">
      <w:pPr>
        <w:pStyle w:val="5"/>
        <w:ind w:firstLine="480"/>
        <w:jc w:val="left"/>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3.医用耗材质量保证</w:t>
      </w:r>
    </w:p>
    <w:p w14:paraId="13E0A76E">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（1）中标人须提供原厂生产的未曾使用过的、全新的合格的货品（含配套配件等），表面无划伤、无破损痕迹，且权属清楚，不得侵害他人的合法权利；</w:t>
      </w:r>
    </w:p>
    <w:p w14:paraId="67185A60">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2）中标人所提供货品须符合或优于国家（行业）标准、本项目招标文件要求及竞选文件响应内容。当竞选文件响应内容与招标文件要求不一致时，以竞选文件响应内容为准。当竞选文件响应内容与国家标准、行业标准（若有）不一致时，以较高标准为准；</w:t>
      </w:r>
    </w:p>
    <w:p w14:paraId="3439756E">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（3）中标人提供货品的设计技术专利、外形专利等均应符合我国有关法律法规及行业标准，凡因以上问题与第三方发生的任何纠纷均与采购人无关；</w:t>
      </w:r>
    </w:p>
    <w:p w14:paraId="24F1067F">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（4）中标人保证其提供货品的安全可靠性。在正常使用下不应对使用者造成任何人身伤害，如因产品质量或标示不明确而对使用者造成损失的，由中标人承担相应责任；</w:t>
      </w:r>
    </w:p>
    <w:p w14:paraId="111777E2">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中标人应保证所供耗材原产地真实，医用耗材是全新的、未使用过的，质量符合国家标准（在无国家标准时，符合行业标准），不得以假充真，以次充好，确保临床医疗安全。如出现质量问题，中标人负责按照采购人要求办理退货并承担因耗材质量导致的经济和法律责任。送货时，需向采购人提供以下资料：产品送货单、产品合格证明文件（检验报告单）、进口产品需出具中文标签、进口产品需提供中华人民共和国海关进口货物报关单；</w:t>
      </w:r>
    </w:p>
    <w:p w14:paraId="32FDAAD9">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（6）中标人保证所供耗材有效期不低于1年，自通过最终验收之日起，确保采购人在使用耗材的过程中安全、有效。</w:t>
      </w:r>
    </w:p>
    <w:p w14:paraId="73F22C18">
      <w:pPr>
        <w:pStyle w:val="5"/>
        <w:ind w:firstLine="480"/>
        <w:jc w:val="left"/>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4.验收</w:t>
      </w:r>
    </w:p>
    <w:p w14:paraId="31DCA642">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1）按照《财政部关于进一步加强政府采购需求和履约验收管理的指导意见》（财库〔2016〕205号）的要求以及采购人招标文件的质量要求和技术指标、中标人的竞选文件及承诺（若有）、国家（行业）标准、本合同约定标准进行验收；</w:t>
      </w:r>
    </w:p>
    <w:p w14:paraId="29767BBF">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2）验收时如发现所交付的货物有短装、次品、损坏或其他不符合验收标准的，采购人应做出详尽的现场记录，此现场记录或备忘录可用作补充、缺失和更换损坏部件的有效证据，由此产生的时间延误与有关费用由中标人承担，验收期限相应顺延；</w:t>
      </w:r>
    </w:p>
    <w:p w14:paraId="442239D7">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3）若所提供货物不符合验收标准，中标人经过2次维修或2次调换后仍不能达到验收质量标准，则视为验收不合格，采购人有权全部（或部分）退货或解除合同。接到采购人退货通知，中标人除应及时运走采购人退还的货物外（若涉及费用或损失均由中标人自行承担），还应向采购人承担相应的违约责任。</w:t>
      </w:r>
    </w:p>
    <w:p w14:paraId="648178FC">
      <w:pPr>
        <w:pStyle w:val="5"/>
        <w:ind w:firstLine="480"/>
        <w:jc w:val="left"/>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5.售后服务</w:t>
      </w:r>
    </w:p>
    <w:p w14:paraId="5D448371">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1）要求中标人必须严格按照招标文件要求和竞选文件中的承诺提供配送服务。如果配送的医用耗材规格、包装等信息与中标产品的规格、包装等信息不一致并不同意更换的，或配送的医用耗材和中标产品不一致的，采购人有权终止合同；</w:t>
      </w:r>
    </w:p>
    <w:p w14:paraId="2D9F6D0A">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（2）要求中标人指派专人负责与采购人联系售后服务事宜；在竞选文件中列明售后联系人及联系电话；</w:t>
      </w:r>
    </w:p>
    <w:p w14:paraId="04259869">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3）要求中标人须按采购人要求分期分批按时交货，每次配送的时间和数量必须严格按照采购人发送的配送通知执行。要求急需使用的产品4小时内送达，一般情况48小时内送达，若因采购人原因时间变更，以采购人通知时间为准，节假日照常配送，并承诺无条件退换破损和近效期产品；</w:t>
      </w:r>
    </w:p>
    <w:p w14:paraId="0B90F55F">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（4）耗材临近失效期，采购人提前三个月向中标人提出更换，中标人须在耗材失效前一个月更换完毕，不得以任何理由进行推诿；</w:t>
      </w:r>
    </w:p>
    <w:p w14:paraId="6C43F3C4">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（5）中标人必须随货提供其具备医疗器械经营企业的有关合法有效的手续（包括但不限于）：</w:t>
      </w:r>
    </w:p>
    <w:p w14:paraId="0546BCFA">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5.1产品所涉及逐级授权经销商的医疗器械生产（经营）许可证或生产（经营）企业备案表；</w:t>
      </w:r>
    </w:p>
    <w:p w14:paraId="7BEA146B">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5.2医疗器械产品注册证或备案凭证；</w:t>
      </w:r>
    </w:p>
    <w:p w14:paraId="20D47748">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5.3医疗器械生产企业许可证；</w:t>
      </w:r>
    </w:p>
    <w:p w14:paraId="229C268E">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5.4经销商获得的委托授权书（逐级）；</w:t>
      </w:r>
    </w:p>
    <w:p w14:paraId="72E01768">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5.5产品所涉及逐级授权经销商的企业法人营业执照。</w:t>
      </w:r>
    </w:p>
    <w:p w14:paraId="557F638A">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5.6采购人要求提供的相关资料。</w:t>
      </w:r>
    </w:p>
    <w:p w14:paraId="6AEC2511">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6）合同有效期内，项目清单中产品凡是纳入网上集中采购医用耗材的，应在公示后10个工作日内以书面形式告知采购人，应按照四川省医疗保障局下发的《四川省医药机构医用耗材集中采购实施方案》要求进行挂网采购，且挂网采购价格不应高于联动参考价、该产品上月末全省医药机构最低采购价或采购成交价中的任一价格。经甲乙双方商议后，若因乙方或厂家原因无法按上述要求执行的，则甲方可以解除与乙方在成交合同中对该产品的采购相关约定。</w:t>
      </w:r>
    </w:p>
    <w:p w14:paraId="28F86694">
      <w:pPr>
        <w:pStyle w:val="5"/>
        <w:ind w:firstLine="480"/>
        <w:jc w:val="left"/>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 xml:space="preserve">6.包装和运输 </w:t>
      </w:r>
    </w:p>
    <w:p w14:paraId="6828E225">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 xml:space="preserve">（1）成交竞选人须严格按照《商品包装政府采购需求标准(试行)》、《快递包装政府采购需求标准(试行)》(财办库〔2020〕123 号)的要求进行产品及相关快递服务的包装； </w:t>
      </w:r>
    </w:p>
    <w:p w14:paraId="57A2B289">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 xml:space="preserve">（2）竞选人应当按照约定的方式交付标的物。对于包装方式没有约定或者约定不明确的，应当按照通用的方式包装；没有通用方式的，应当采取足以保护标的物且有利于节约资源，保护生态环境的包装方式； </w:t>
      </w:r>
    </w:p>
    <w:p w14:paraId="3697FDD8">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（3）本次采购的标的物需要运输，竞选人在合同约定的时间内将标的物运输至合同约定地点。</w:t>
      </w:r>
    </w:p>
    <w:p w14:paraId="30138D94">
      <w:pPr>
        <w:pStyle w:val="5"/>
        <w:jc w:val="left"/>
        <w:outlineLvl w:val="2"/>
        <w:rPr>
          <w:rFonts w:hint="eastAsia" w:ascii="仿宋" w:hAnsi="仿宋" w:eastAsia="仿宋" w:cs="仿宋"/>
        </w:rPr>
      </w:pPr>
      <w:r>
        <w:rPr>
          <w:rFonts w:hint="eastAsia" w:ascii="仿宋" w:hAnsi="仿宋" w:eastAsia="仿宋" w:cs="仿宋"/>
          <w:b/>
          <w:sz w:val="28"/>
        </w:rPr>
        <w:t>3.4.其他要求</w:t>
      </w:r>
    </w:p>
    <w:p w14:paraId="1C0B8A7F">
      <w:pPr>
        <w:pStyle w:val="5"/>
        <w:ind w:firstLine="480"/>
        <w:jc w:val="left"/>
        <w:rPr>
          <w:rFonts w:hint="default" w:ascii="仿宋" w:hAnsi="仿宋" w:eastAsia="仿宋" w:cs="仿宋"/>
          <w:b/>
          <w:bCs/>
          <w:sz w:val="24"/>
          <w:szCs w:val="24"/>
          <w:lang w:val="en-US" w:eastAsia="zh-CN"/>
        </w:rPr>
      </w:pPr>
      <w:r>
        <w:rPr>
          <w:rFonts w:hint="eastAsia" w:ascii="仿宋" w:hAnsi="仿宋" w:eastAsia="仿宋" w:cs="仿宋"/>
          <w:b/>
          <w:bCs/>
          <w:sz w:val="24"/>
          <w:szCs w:val="24"/>
          <w:lang w:val="en-US" w:eastAsia="zh-CN"/>
        </w:rPr>
        <w:t>1.</w:t>
      </w:r>
      <w:r>
        <w:rPr>
          <w:rFonts w:hint="default" w:ascii="仿宋" w:hAnsi="仿宋" w:eastAsia="仿宋" w:cs="仿宋"/>
          <w:b/>
          <w:bCs/>
          <w:sz w:val="24"/>
          <w:szCs w:val="24"/>
          <w:lang w:val="en-US" w:eastAsia="zh-CN"/>
        </w:rPr>
        <w:t>违约责任与解决争议的方法：</w:t>
      </w:r>
    </w:p>
    <w:p w14:paraId="67CE626F">
      <w:pPr>
        <w:pStyle w:val="5"/>
        <w:ind w:firstLine="480"/>
        <w:jc w:val="left"/>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1.1违约责任</w:t>
      </w:r>
    </w:p>
    <w:p w14:paraId="7B5F245E">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（1）乙方逾期15日内不能提供甲方所需医用耗材的，应向甲方每日支付该批次货款千分之三的违约金。</w:t>
      </w:r>
    </w:p>
    <w:p w14:paraId="74A639DF">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（2）乙方逾期15日及以上不能交付以上产品的，视同不能供货，须向甲方支付该批次货款的10%的违约金，同时甲方可以单方面解除本合同。</w:t>
      </w:r>
    </w:p>
    <w:p w14:paraId="4330B6FD">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（3）若因乙方原因造成甲方被监管部门通报三次及以上的或者造成甲方违规采购，甲方有权单方面解除本合同。同时</w:t>
      </w:r>
      <w:r>
        <w:rPr>
          <w:rFonts w:hint="default" w:ascii="仿宋" w:hAnsi="仿宋" w:eastAsia="仿宋" w:cs="仿宋"/>
          <w:color w:val="000000"/>
          <w:kern w:val="0"/>
          <w:sz w:val="22"/>
          <w:szCs w:val="22"/>
          <w:u w:val="none"/>
          <w:lang w:val="en-US" w:eastAsia="zh-CN" w:bidi="ar"/>
        </w:rPr>
        <w:t>，</w:t>
      </w:r>
      <w:r>
        <w:rPr>
          <w:rFonts w:hint="eastAsia" w:ascii="仿宋" w:hAnsi="仿宋" w:eastAsia="仿宋" w:cs="仿宋"/>
          <w:color w:val="000000"/>
          <w:kern w:val="0"/>
          <w:sz w:val="22"/>
          <w:szCs w:val="22"/>
          <w:u w:val="none"/>
          <w:lang w:val="en-US" w:eastAsia="zh-CN" w:bidi="ar"/>
        </w:rPr>
        <w:t>甲方有权要求乙方支付该批货物价款20%的违约金。</w:t>
      </w:r>
    </w:p>
    <w:p w14:paraId="4A1BEC99">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4）乙方销售的产品若发生严重医疗不良事件或被国家法定检测机构检测为不合格产品，视为乙方违约导致不能实现本合同目的，甲方有权单方面解除本合同，并要求乙方限期收回不合格产品，并要求乙方需承担合同价款20%的违约金，违约金不足以弥补甲方损失的，乙方还应当承补足。即使产品已经验收入库（或安装调试完毕）后，甲方才发现产品为不合格产品的，也视为乙方违约，乙方应当承担本条约定的责任。同时甲方有权退回库存产品。</w:t>
      </w:r>
    </w:p>
    <w:p w14:paraId="5ECBBE53">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（5）若根据法律规定或本协议约定产生甲方退、换货或拒绝收货情形，由乙方承担退换货产生的各项税、费或其他支出。</w:t>
      </w:r>
    </w:p>
    <w:p w14:paraId="5F8EBBE4">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（6）乙方不能保证及时供货，除应当向甲方承担违约责任外，甲方仍有权单方面解除本合同。</w:t>
      </w:r>
    </w:p>
    <w:p w14:paraId="216ABB1C">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（7）因乙方提供的产品不合格造成甲方或第三人人身损害或财产损失的，由乙方承担赔偿责任。</w:t>
      </w:r>
    </w:p>
    <w:p w14:paraId="5D7C65C9">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8）若因乙方原因造成甲方挂网执行存在问题以及线上支付不及时、造成甲方未挂网采购的或者存在其他问题的，乙方应承担违约责任，且甲方有权要求乙方支付该批货物价款20%的违约金，甲方有权单方面解除合同。</w:t>
      </w:r>
    </w:p>
    <w:p w14:paraId="164EC24D">
      <w:pPr>
        <w:pStyle w:val="5"/>
        <w:ind w:firstLine="480"/>
        <w:jc w:val="left"/>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1.2解决合同纠纷的方式</w:t>
      </w:r>
    </w:p>
    <w:p w14:paraId="0CD6E34E">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（1）因货物的质量问题发生的争议，由法定质量鉴定机构或其认可的质量鉴定机构进行质量鉴定。货物符合标准的，鉴定费由甲方承担；货物不符合质量标准的，鉴定费由乙方承担。</w:t>
      </w:r>
    </w:p>
    <w:p w14:paraId="69585B9C">
      <w:pPr>
        <w:ind w:firstLine="440" w:firstLineChars="200"/>
        <w:jc w:val="left"/>
        <w:textAlignment w:val="center"/>
        <w:rPr>
          <w:rFonts w:hint="default"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（2）合同履行期间，若双方发生争议，可协商或由有关部门调解解决，协商或调解不成的，可向甲方所在地人民法院依法提起诉讼。</w:t>
      </w:r>
    </w:p>
    <w:p w14:paraId="537E8E62">
      <w:pPr>
        <w:pStyle w:val="5"/>
        <w:ind w:firstLine="480"/>
        <w:jc w:val="left"/>
        <w:rPr>
          <w:rFonts w:hint="eastAsia" w:ascii="Times New Roman" w:hAnsi="Times New Roman" w:eastAsia="仿宋" w:cs="Times New Roman"/>
          <w:color w:val="auto"/>
          <w:sz w:val="24"/>
          <w:szCs w:val="24"/>
          <w:highlight w:val="none"/>
          <w:shd w:val="clear" w:color="auto" w:fill="auto"/>
          <w:lang w:val="en-US" w:eastAsia="zh-CN"/>
        </w:rPr>
      </w:pPr>
      <w:r>
        <w:rPr>
          <w:rFonts w:hint="eastAsia" w:ascii="仿宋" w:hAnsi="仿宋" w:eastAsia="仿宋" w:cs="仿宋"/>
          <w:b/>
          <w:bCs/>
          <w:sz w:val="24"/>
          <w:szCs w:val="24"/>
          <w:lang w:val="en-US" w:eastAsia="zh-CN"/>
        </w:rPr>
        <w:t>2.</w:t>
      </w:r>
      <w:r>
        <w:rPr>
          <w:rFonts w:hint="default" w:ascii="Times New Roman" w:hAnsi="Times New Roman" w:eastAsia="仿宋" w:cs="Times New Roman"/>
          <w:b/>
          <w:bCs/>
          <w:color w:val="auto"/>
          <w:sz w:val="24"/>
          <w:szCs w:val="24"/>
          <w:highlight w:val="none"/>
          <w:shd w:val="clear" w:color="auto" w:fill="auto"/>
        </w:rPr>
        <w:t>履行期限</w:t>
      </w:r>
      <w:r>
        <w:rPr>
          <w:rFonts w:hint="eastAsia" w:ascii="Times New Roman" w:hAnsi="Times New Roman" w:eastAsia="仿宋" w:cs="Times New Roman"/>
          <w:b/>
          <w:bCs/>
          <w:color w:val="auto"/>
          <w:sz w:val="24"/>
          <w:szCs w:val="24"/>
          <w:highlight w:val="none"/>
          <w:shd w:val="clear" w:color="auto" w:fill="auto"/>
          <w:lang w:eastAsia="zh-CN"/>
        </w:rPr>
        <w:t>：</w:t>
      </w:r>
      <w:r>
        <w:rPr>
          <w:rFonts w:hint="eastAsia" w:ascii="仿宋" w:hAnsi="仿宋" w:eastAsia="仿宋" w:cs="仿宋"/>
          <w:color w:val="000000"/>
          <w:kern w:val="0"/>
          <w:sz w:val="22"/>
          <w:szCs w:val="22"/>
          <w:u w:val="none"/>
          <w:lang w:val="en-US" w:eastAsia="zh-CN" w:bidi="ar"/>
        </w:rPr>
        <w:t>2年；</w:t>
      </w:r>
    </w:p>
    <w:p w14:paraId="4A865687">
      <w:pPr>
        <w:pStyle w:val="5"/>
        <w:ind w:firstLine="480"/>
        <w:jc w:val="left"/>
        <w:rPr>
          <w:rFonts w:hint="eastAsia" w:ascii="仿宋" w:hAnsi="仿宋" w:eastAsia="仿宋" w:cs="仿宋"/>
          <w:b w:val="0"/>
          <w:bCs w:val="0"/>
          <w:sz w:val="24"/>
          <w:szCs w:val="24"/>
          <w:lang w:val="en-US" w:eastAsia="zh-CN"/>
        </w:rPr>
      </w:pPr>
      <w:r>
        <w:rPr>
          <w:rFonts w:hint="eastAsia" w:ascii="仿宋" w:hAnsi="仿宋" w:eastAsia="仿宋" w:cs="仿宋"/>
          <w:b/>
          <w:bCs/>
          <w:sz w:val="24"/>
          <w:szCs w:val="24"/>
          <w:lang w:val="en-US" w:eastAsia="zh-CN"/>
        </w:rPr>
        <w:t>3.支付方式：</w:t>
      </w:r>
      <w:r>
        <w:rPr>
          <w:rFonts w:hint="eastAsia" w:ascii="仿宋" w:hAnsi="仿宋" w:eastAsia="仿宋" w:cs="仿宋"/>
          <w:color w:val="000000"/>
          <w:kern w:val="0"/>
          <w:sz w:val="22"/>
          <w:szCs w:val="22"/>
          <w:u w:val="none"/>
          <w:lang w:val="en-US" w:eastAsia="zh-CN" w:bidi="ar"/>
        </w:rPr>
        <w:t>双方协商确定。</w:t>
      </w:r>
    </w:p>
    <w:p w14:paraId="41F91915">
      <w:pPr>
        <w:pStyle w:val="5"/>
        <w:ind w:firstLine="480"/>
        <w:jc w:val="left"/>
        <w:rPr>
          <w:rFonts w:hint="default" w:ascii="仿宋" w:hAnsi="仿宋" w:eastAsia="仿宋" w:cs="仿宋"/>
          <w:b/>
          <w:bCs/>
          <w:sz w:val="24"/>
          <w:szCs w:val="24"/>
          <w:lang w:val="en-US" w:eastAsia="zh-CN"/>
        </w:rPr>
      </w:pPr>
      <w:r>
        <w:rPr>
          <w:rFonts w:hint="eastAsia" w:ascii="仿宋" w:hAnsi="仿宋" w:eastAsia="仿宋" w:cs="仿宋"/>
          <w:b/>
          <w:bCs/>
          <w:sz w:val="24"/>
          <w:szCs w:val="24"/>
          <w:lang w:val="en-US" w:eastAsia="zh-CN"/>
        </w:rPr>
        <w:t>4.</w:t>
      </w:r>
      <w:r>
        <w:rPr>
          <w:rFonts w:hint="default" w:ascii="仿宋" w:hAnsi="仿宋" w:eastAsia="仿宋" w:cs="仿宋"/>
          <w:b/>
          <w:bCs/>
          <w:sz w:val="24"/>
          <w:szCs w:val="24"/>
          <w:lang w:val="en-US" w:eastAsia="zh-CN"/>
        </w:rPr>
        <w:t>履约验收程序</w:t>
      </w:r>
      <w:r>
        <w:rPr>
          <w:rFonts w:hint="eastAsia" w:ascii="仿宋" w:hAnsi="仿宋" w:eastAsia="仿宋" w:cs="仿宋"/>
          <w:b/>
          <w:bCs/>
          <w:sz w:val="24"/>
          <w:szCs w:val="24"/>
          <w:lang w:val="en-US" w:eastAsia="zh-CN"/>
        </w:rPr>
        <w:t>：</w:t>
      </w:r>
      <w:r>
        <w:rPr>
          <w:rFonts w:hint="eastAsia" w:ascii="仿宋" w:hAnsi="仿宋" w:eastAsia="仿宋" w:cs="仿宋"/>
          <w:color w:val="000000"/>
          <w:kern w:val="0"/>
          <w:sz w:val="22"/>
          <w:szCs w:val="22"/>
          <w:u w:val="none"/>
          <w:lang w:val="en-US" w:eastAsia="zh-CN" w:bidi="ar"/>
        </w:rPr>
        <w:t>分批次验收。</w:t>
      </w:r>
    </w:p>
    <w:p w14:paraId="69F62BE7">
      <w:r>
        <w:rPr>
          <w:rFonts w:hint="eastAsia" w:ascii="仿宋" w:hAnsi="仿宋" w:eastAsia="仿宋" w:cs="仿宋"/>
          <w:b/>
          <w:bCs/>
          <w:sz w:val="24"/>
          <w:szCs w:val="24"/>
          <w:lang w:val="en-US" w:eastAsia="zh-CN"/>
        </w:rPr>
        <w:t>5.</w:t>
      </w:r>
      <w:r>
        <w:rPr>
          <w:rFonts w:hint="default" w:ascii="仿宋" w:hAnsi="仿宋" w:eastAsia="仿宋" w:cs="仿宋"/>
          <w:b/>
          <w:bCs/>
          <w:sz w:val="24"/>
          <w:szCs w:val="24"/>
          <w:lang w:val="en-US" w:eastAsia="zh-CN"/>
        </w:rPr>
        <w:t>履约验收时间：</w:t>
      </w:r>
      <w:r>
        <w:rPr>
          <w:rFonts w:hint="default" w:ascii="仿宋" w:hAnsi="仿宋" w:eastAsia="仿宋" w:cs="仿宋"/>
          <w:color w:val="000000"/>
          <w:kern w:val="0"/>
          <w:sz w:val="22"/>
          <w:szCs w:val="22"/>
          <w:u w:val="none"/>
          <w:lang w:val="en-US" w:eastAsia="zh-CN" w:bidi="ar"/>
        </w:rPr>
        <w:t>合同期限内，根据</w:t>
      </w:r>
      <w:r>
        <w:rPr>
          <w:rFonts w:hint="eastAsia" w:ascii="仿宋" w:hAnsi="仿宋" w:eastAsia="仿宋" w:cs="仿宋"/>
          <w:color w:val="000000"/>
          <w:kern w:val="0"/>
          <w:sz w:val="22"/>
          <w:szCs w:val="22"/>
          <w:u w:val="none"/>
          <w:lang w:val="en-US" w:eastAsia="zh-CN" w:bidi="ar"/>
        </w:rPr>
        <w:t>采购人</w:t>
      </w:r>
      <w:r>
        <w:rPr>
          <w:rFonts w:hint="default" w:ascii="仿宋" w:hAnsi="仿宋" w:eastAsia="仿宋" w:cs="仿宋"/>
          <w:color w:val="000000"/>
          <w:kern w:val="0"/>
          <w:sz w:val="22"/>
          <w:szCs w:val="22"/>
          <w:u w:val="none"/>
          <w:lang w:val="en-US" w:eastAsia="zh-CN" w:bidi="ar"/>
        </w:rPr>
        <w:t>要求分批次送货，完成送货、验收入库视为验收完成</w:t>
      </w:r>
      <w:r>
        <w:rPr>
          <w:rFonts w:hint="eastAsia" w:ascii="仿宋" w:hAnsi="仿宋" w:eastAsia="仿宋" w:cs="仿宋"/>
          <w:color w:val="000000"/>
          <w:kern w:val="0"/>
          <w:sz w:val="22"/>
          <w:szCs w:val="22"/>
          <w:u w:val="none"/>
          <w:lang w:val="en-US" w:eastAsia="zh-CN" w:bidi="ar"/>
        </w:rPr>
        <w:t>。</w:t>
      </w:r>
      <w:r>
        <w:rPr>
          <w:rFonts w:hint="eastAsia" w:ascii="仿宋" w:hAnsi="仿宋" w:eastAsia="仿宋" w:cs="仿宋"/>
          <w:color w:val="000000"/>
          <w:kern w:val="0"/>
          <w:sz w:val="22"/>
          <w:szCs w:val="22"/>
          <w:u w:val="none"/>
          <w:lang w:val="en-US" w:eastAsia="zh-CN" w:bidi="ar"/>
        </w:rPr>
        <w:br w:type="textWrapping"/>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7F66F5"/>
    <w:rsid w:val="108B406B"/>
    <w:rsid w:val="1ACE595C"/>
    <w:rsid w:val="312E4E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5">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2994</Words>
  <Characters>3273</Characters>
  <Lines>0</Lines>
  <Paragraphs>0</Paragraphs>
  <TotalTime>0</TotalTime>
  <ScaleCrop>false</ScaleCrop>
  <LinksUpToDate>false</LinksUpToDate>
  <CharactersWithSpaces>3279</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kimi</cp:lastModifiedBy>
  <dcterms:modified xsi:type="dcterms:W3CDTF">2025-01-14T06:48:26Z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KSOTemplateDocerSaveRecord">
    <vt:lpwstr>eyJoZGlkIjoiNGNhMWE3NTkxNzZmNGI1MDVkZjYwMjhiNGQ2YjQxMDkiLCJ1c2VySWQiOiI0ODI5Njk1NDgifQ==</vt:lpwstr>
  </property>
  <property fmtid="{D5CDD505-2E9C-101B-9397-08002B2CF9AE}" pid="4" name="ICV">
    <vt:lpwstr>C5B7C8CBB9774CFEB3B6A5951A74B4A9_12</vt:lpwstr>
  </property>
</Properties>
</file>