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AAECB">
      <w:pPr>
        <w:pStyle w:val="7"/>
        <w:jc w:val="center"/>
        <w:outlineLvl w:val="0"/>
        <w:rPr>
          <w:rFonts w:hint="eastAsia" w:ascii="宋体" w:hAnsi="宋体" w:eastAsia="宋体" w:cs="宋体"/>
          <w:color w:val="auto"/>
          <w:sz w:val="28"/>
          <w:szCs w:val="28"/>
          <w:highlight w:val="none"/>
        </w:rPr>
      </w:pPr>
      <w:bookmarkStart w:id="0" w:name="_Toc17849"/>
      <w:bookmarkStart w:id="1" w:name="_Toc393"/>
      <w:r>
        <w:rPr>
          <w:rFonts w:hint="eastAsia" w:ascii="宋体" w:hAnsi="宋体" w:eastAsia="宋体" w:cs="宋体"/>
          <w:b/>
          <w:color w:val="auto"/>
          <w:sz w:val="28"/>
          <w:szCs w:val="28"/>
          <w:highlight w:val="none"/>
        </w:rPr>
        <w:t>第三章 技术、服务及其他要求</w:t>
      </w:r>
      <w:bookmarkEnd w:id="0"/>
      <w:bookmarkEnd w:id="1"/>
    </w:p>
    <w:p w14:paraId="7B6BCD6D">
      <w:pPr>
        <w:pStyle w:val="7"/>
        <w:ind w:firstLine="482" w:firstLineChars="200"/>
        <w:jc w:val="left"/>
        <w:outlineLvl w:val="2"/>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一、</w:t>
      </w:r>
      <w:r>
        <w:rPr>
          <w:rFonts w:hint="eastAsia" w:ascii="宋体" w:hAnsi="宋体" w:eastAsia="宋体" w:cs="宋体"/>
          <w:b/>
          <w:color w:val="auto"/>
          <w:sz w:val="24"/>
          <w:szCs w:val="24"/>
          <w:highlight w:val="none"/>
          <w:lang w:val="en-US" w:eastAsia="zh-CN"/>
        </w:rPr>
        <w:t>标的情况</w:t>
      </w:r>
    </w:p>
    <w:tbl>
      <w:tblPr>
        <w:tblStyle w:val="4"/>
        <w:tblW w:w="5276" w:type="pct"/>
        <w:tblInd w:w="-3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101"/>
        <w:gridCol w:w="1115"/>
        <w:gridCol w:w="1800"/>
        <w:gridCol w:w="1976"/>
        <w:gridCol w:w="1433"/>
        <w:gridCol w:w="1196"/>
        <w:gridCol w:w="1504"/>
      </w:tblGrid>
      <w:tr w14:paraId="211BC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3" w:hRule="atLeast"/>
        </w:trPr>
        <w:tc>
          <w:tcPr>
            <w:tcW w:w="544"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D063F27">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包号</w:t>
            </w:r>
          </w:p>
        </w:tc>
        <w:tc>
          <w:tcPr>
            <w:tcW w:w="55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8EF65A9">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编号</w:t>
            </w:r>
          </w:p>
        </w:tc>
        <w:tc>
          <w:tcPr>
            <w:tcW w:w="88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74A4D4C">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标的名称</w:t>
            </w:r>
          </w:p>
        </w:tc>
        <w:tc>
          <w:tcPr>
            <w:tcW w:w="97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DCCFCDA">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cs="宋体"/>
                <w:b/>
                <w:bCs/>
                <w:color w:val="auto"/>
                <w:sz w:val="24"/>
                <w:szCs w:val="24"/>
                <w:highlight w:val="none"/>
                <w:shd w:val="clear" w:color="auto" w:fill="auto"/>
                <w:lang w:val="en-US" w:eastAsia="zh-CN"/>
              </w:rPr>
              <w:t>最高限</w:t>
            </w:r>
            <w:r>
              <w:rPr>
                <w:rFonts w:hint="eastAsia" w:ascii="宋体" w:hAnsi="宋体" w:eastAsia="宋体" w:cs="宋体"/>
                <w:b/>
                <w:bCs/>
                <w:color w:val="auto"/>
                <w:sz w:val="24"/>
                <w:szCs w:val="24"/>
                <w:highlight w:val="none"/>
                <w:shd w:val="clear" w:color="auto" w:fill="auto"/>
                <w:lang w:val="en-US" w:eastAsia="zh-CN"/>
              </w:rPr>
              <w:t>价（元）</w:t>
            </w:r>
          </w:p>
        </w:tc>
        <w:tc>
          <w:tcPr>
            <w:tcW w:w="70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2EA87DC">
            <w:pPr>
              <w:spacing w:line="400" w:lineRule="exact"/>
              <w:jc w:val="center"/>
              <w:rPr>
                <w:rFonts w:hint="default" w:ascii="宋体" w:hAnsi="宋体" w:eastAsia="宋体" w:cs="宋体"/>
                <w:b/>
                <w:bCs/>
                <w:color w:val="auto"/>
                <w:sz w:val="24"/>
                <w:szCs w:val="24"/>
                <w:highlight w:val="none"/>
                <w:shd w:val="clear" w:color="auto" w:fill="auto"/>
                <w:lang w:val="en-US" w:eastAsia="zh-CN"/>
              </w:rPr>
            </w:pPr>
            <w:r>
              <w:rPr>
                <w:rFonts w:hint="eastAsia" w:ascii="宋体" w:hAnsi="宋体" w:cs="宋体"/>
                <w:b/>
                <w:bCs/>
                <w:color w:val="auto"/>
                <w:sz w:val="24"/>
                <w:highlight w:val="none"/>
                <w:shd w:val="clear" w:color="auto" w:fill="auto"/>
                <w:lang w:val="en-US" w:eastAsia="zh-CN"/>
              </w:rPr>
              <w:t>预计数量</w:t>
            </w:r>
          </w:p>
        </w:tc>
        <w:tc>
          <w:tcPr>
            <w:tcW w:w="59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F7BDF48">
            <w:pPr>
              <w:spacing w:line="400" w:lineRule="exact"/>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eastAsia="宋体" w:cs="宋体"/>
                <w:b/>
                <w:bCs/>
                <w:color w:val="auto"/>
                <w:sz w:val="24"/>
                <w:szCs w:val="24"/>
                <w:highlight w:val="none"/>
                <w:shd w:val="clear" w:color="auto" w:fill="auto"/>
                <w:lang w:val="en-US" w:eastAsia="zh-CN"/>
              </w:rPr>
              <w:t>计量单位</w:t>
            </w:r>
          </w:p>
        </w:tc>
        <w:tc>
          <w:tcPr>
            <w:tcW w:w="74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A4D882C">
            <w:pPr>
              <w:spacing w:line="400" w:lineRule="exact"/>
              <w:jc w:val="left"/>
              <w:rPr>
                <w:rFonts w:hint="eastAsia" w:ascii="Times New Roman" w:hAnsi="Times New Roman" w:eastAsia="仿宋" w:cs="Times New Roman"/>
                <w:b/>
                <w:bCs/>
                <w:color w:val="auto"/>
                <w:kern w:val="2"/>
                <w:sz w:val="18"/>
                <w:szCs w:val="18"/>
                <w:highlight w:val="none"/>
                <w:shd w:val="clear" w:color="auto" w:fill="auto"/>
                <w:lang w:val="en-US" w:eastAsia="zh-CN" w:bidi="ar-SA"/>
              </w:rPr>
            </w:pPr>
            <w:r>
              <w:rPr>
                <w:rFonts w:hint="eastAsia" w:ascii="宋体" w:hAnsi="宋体" w:eastAsia="宋体" w:cs="宋体"/>
                <w:b/>
                <w:bCs/>
                <w:color w:val="auto"/>
                <w:sz w:val="24"/>
                <w:szCs w:val="24"/>
                <w:highlight w:val="none"/>
                <w:shd w:val="clear" w:color="auto" w:fill="auto"/>
                <w:lang w:val="en-US" w:eastAsia="zh-CN"/>
              </w:rPr>
              <w:t>预算金额/最高限价（元）</w:t>
            </w:r>
          </w:p>
        </w:tc>
      </w:tr>
      <w:tr w14:paraId="62C4C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8" w:hRule="atLeast"/>
        </w:trPr>
        <w:tc>
          <w:tcPr>
            <w:tcW w:w="54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63D735">
            <w:pPr>
              <w:spacing w:line="400" w:lineRule="exact"/>
              <w:jc w:val="center"/>
              <w:rPr>
                <w:rFonts w:hint="eastAsia" w:ascii="宋体" w:hAnsi="宋体" w:eastAsia="宋体" w:cs="宋体"/>
                <w:b w:val="0"/>
                <w:bCs w:val="0"/>
                <w:color w:val="auto"/>
                <w:sz w:val="24"/>
                <w:szCs w:val="24"/>
                <w:highlight w:val="none"/>
                <w:shd w:val="clear" w:color="auto" w:fill="auto"/>
                <w:lang w:val="en-US" w:eastAsia="zh-CN"/>
              </w:rPr>
            </w:pPr>
            <w:r>
              <w:rPr>
                <w:rFonts w:hint="eastAsia" w:ascii="宋体" w:hAnsi="宋体" w:eastAsia="宋体" w:cs="宋体"/>
                <w:b w:val="0"/>
                <w:bCs w:val="0"/>
                <w:color w:val="auto"/>
                <w:sz w:val="24"/>
                <w:szCs w:val="24"/>
                <w:highlight w:val="none"/>
                <w:shd w:val="clear" w:color="auto" w:fill="auto"/>
                <w:lang w:val="en-US" w:eastAsia="zh-CN"/>
              </w:rPr>
              <w:t>1</w:t>
            </w:r>
          </w:p>
        </w:tc>
        <w:tc>
          <w:tcPr>
            <w:tcW w:w="55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8E2238">
            <w:pPr>
              <w:spacing w:line="400" w:lineRule="exact"/>
              <w:jc w:val="center"/>
              <w:rPr>
                <w:rFonts w:hint="default" w:ascii="宋体" w:hAnsi="宋体" w:eastAsia="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1</w:t>
            </w:r>
          </w:p>
        </w:tc>
        <w:tc>
          <w:tcPr>
            <w:tcW w:w="88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067C86">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一次性使用无菌鼻氧管</w:t>
            </w:r>
          </w:p>
        </w:tc>
        <w:tc>
          <w:tcPr>
            <w:tcW w:w="97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5411E7">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2.9</w:t>
            </w:r>
          </w:p>
        </w:tc>
        <w:tc>
          <w:tcPr>
            <w:tcW w:w="7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855204">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按计划</w:t>
            </w:r>
          </w:p>
        </w:tc>
        <w:tc>
          <w:tcPr>
            <w:tcW w:w="59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792B69">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个</w:t>
            </w:r>
          </w:p>
        </w:tc>
        <w:tc>
          <w:tcPr>
            <w:tcW w:w="74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41FA3E">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据实结算</w:t>
            </w:r>
          </w:p>
        </w:tc>
      </w:tr>
      <w:tr w14:paraId="1579C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8" w:hRule="atLeast"/>
        </w:trPr>
        <w:tc>
          <w:tcPr>
            <w:tcW w:w="54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D6F923">
            <w:pPr>
              <w:spacing w:line="400" w:lineRule="exact"/>
              <w:jc w:val="center"/>
              <w:rPr>
                <w:rFonts w:hint="default" w:ascii="宋体" w:hAnsi="宋体" w:eastAsia="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1</w:t>
            </w:r>
          </w:p>
        </w:tc>
        <w:tc>
          <w:tcPr>
            <w:tcW w:w="55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5D0E9F">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w:t>
            </w:r>
          </w:p>
        </w:tc>
        <w:tc>
          <w:tcPr>
            <w:tcW w:w="88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30226F">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医用雾化器</w:t>
            </w:r>
          </w:p>
        </w:tc>
        <w:tc>
          <w:tcPr>
            <w:tcW w:w="97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FF3420">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16</w:t>
            </w:r>
          </w:p>
        </w:tc>
        <w:tc>
          <w:tcPr>
            <w:tcW w:w="70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EB848E">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按计划</w:t>
            </w:r>
          </w:p>
        </w:tc>
        <w:tc>
          <w:tcPr>
            <w:tcW w:w="59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CACF0C0">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个</w:t>
            </w:r>
          </w:p>
        </w:tc>
        <w:tc>
          <w:tcPr>
            <w:tcW w:w="74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A2839D7">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据实结算</w:t>
            </w:r>
          </w:p>
        </w:tc>
      </w:tr>
      <w:tr w14:paraId="7E0A2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8" w:hRule="atLeast"/>
        </w:trPr>
        <w:tc>
          <w:tcPr>
            <w:tcW w:w="54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5CDF2D">
            <w:pPr>
              <w:spacing w:line="400" w:lineRule="exact"/>
              <w:jc w:val="center"/>
              <w:rPr>
                <w:rFonts w:hint="default" w:ascii="宋体" w:hAnsi="宋体" w:eastAsia="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1</w:t>
            </w:r>
          </w:p>
        </w:tc>
        <w:tc>
          <w:tcPr>
            <w:tcW w:w="55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16FE34">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3</w:t>
            </w:r>
          </w:p>
        </w:tc>
        <w:tc>
          <w:tcPr>
            <w:tcW w:w="88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0FCA6B3">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氧气面罩</w:t>
            </w:r>
          </w:p>
        </w:tc>
        <w:tc>
          <w:tcPr>
            <w:tcW w:w="97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73CFB2B">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11</w:t>
            </w:r>
          </w:p>
        </w:tc>
        <w:tc>
          <w:tcPr>
            <w:tcW w:w="70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8FE3FB8">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按计划</w:t>
            </w:r>
          </w:p>
        </w:tc>
        <w:tc>
          <w:tcPr>
            <w:tcW w:w="59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C082279">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个</w:t>
            </w:r>
          </w:p>
        </w:tc>
        <w:tc>
          <w:tcPr>
            <w:tcW w:w="74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1DB1F41">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据实结算</w:t>
            </w:r>
          </w:p>
        </w:tc>
      </w:tr>
      <w:tr w14:paraId="2A859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8" w:hRule="atLeast"/>
        </w:trPr>
        <w:tc>
          <w:tcPr>
            <w:tcW w:w="54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8049DB">
            <w:pPr>
              <w:spacing w:line="400" w:lineRule="exact"/>
              <w:jc w:val="center"/>
              <w:rPr>
                <w:rFonts w:hint="default" w:ascii="宋体" w:hAnsi="宋体" w:eastAsia="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1</w:t>
            </w:r>
          </w:p>
        </w:tc>
        <w:tc>
          <w:tcPr>
            <w:tcW w:w="55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68E7DC">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4</w:t>
            </w:r>
          </w:p>
        </w:tc>
        <w:tc>
          <w:tcPr>
            <w:tcW w:w="88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6F1AD99">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针灸针</w:t>
            </w:r>
          </w:p>
        </w:tc>
        <w:tc>
          <w:tcPr>
            <w:tcW w:w="97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AB4A01">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0.24</w:t>
            </w:r>
          </w:p>
        </w:tc>
        <w:tc>
          <w:tcPr>
            <w:tcW w:w="70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C66F0D1">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按计划</w:t>
            </w:r>
          </w:p>
        </w:tc>
        <w:tc>
          <w:tcPr>
            <w:tcW w:w="59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69F9DCF">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个</w:t>
            </w:r>
          </w:p>
        </w:tc>
        <w:tc>
          <w:tcPr>
            <w:tcW w:w="74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05909F8">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据实结算</w:t>
            </w:r>
          </w:p>
        </w:tc>
      </w:tr>
      <w:tr w14:paraId="6F7DB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8" w:hRule="atLeast"/>
        </w:trPr>
        <w:tc>
          <w:tcPr>
            <w:tcW w:w="54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2323DB">
            <w:pPr>
              <w:spacing w:line="400" w:lineRule="exact"/>
              <w:jc w:val="center"/>
              <w:rPr>
                <w:rFonts w:hint="default" w:ascii="宋体" w:hAnsi="宋体" w:eastAsia="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1</w:t>
            </w:r>
          </w:p>
        </w:tc>
        <w:tc>
          <w:tcPr>
            <w:tcW w:w="55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1274DB">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5</w:t>
            </w:r>
          </w:p>
        </w:tc>
        <w:tc>
          <w:tcPr>
            <w:tcW w:w="88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FF8CBB9">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一次性使用阴道扩张器（中号）</w:t>
            </w:r>
          </w:p>
        </w:tc>
        <w:tc>
          <w:tcPr>
            <w:tcW w:w="97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0AB0E9A">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0.8</w:t>
            </w:r>
          </w:p>
        </w:tc>
        <w:tc>
          <w:tcPr>
            <w:tcW w:w="70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B0EB2F9">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按计划</w:t>
            </w:r>
          </w:p>
        </w:tc>
        <w:tc>
          <w:tcPr>
            <w:tcW w:w="59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3FB48A4">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个</w:t>
            </w:r>
          </w:p>
        </w:tc>
        <w:tc>
          <w:tcPr>
            <w:tcW w:w="74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19AD8A4">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据实结算</w:t>
            </w:r>
          </w:p>
        </w:tc>
      </w:tr>
      <w:tr w14:paraId="587EF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8" w:hRule="atLeast"/>
        </w:trPr>
        <w:tc>
          <w:tcPr>
            <w:tcW w:w="544"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B13B95">
            <w:pPr>
              <w:spacing w:line="400" w:lineRule="exact"/>
              <w:jc w:val="center"/>
              <w:rPr>
                <w:rFonts w:hint="default" w:ascii="宋体" w:hAnsi="宋体" w:eastAsia="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1</w:t>
            </w:r>
          </w:p>
        </w:tc>
        <w:tc>
          <w:tcPr>
            <w:tcW w:w="55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7902E8">
            <w:pPr>
              <w:spacing w:line="400" w:lineRule="exact"/>
              <w:jc w:val="center"/>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6</w:t>
            </w:r>
          </w:p>
        </w:tc>
        <w:tc>
          <w:tcPr>
            <w:tcW w:w="88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B37ED4C">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一次性使用阴道扩张器（小号）</w:t>
            </w:r>
          </w:p>
        </w:tc>
        <w:tc>
          <w:tcPr>
            <w:tcW w:w="97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1C91C0D">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1.04</w:t>
            </w:r>
          </w:p>
        </w:tc>
        <w:tc>
          <w:tcPr>
            <w:tcW w:w="70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AD2741F">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按计划</w:t>
            </w:r>
          </w:p>
        </w:tc>
        <w:tc>
          <w:tcPr>
            <w:tcW w:w="59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AB004F1">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个</w:t>
            </w:r>
          </w:p>
        </w:tc>
        <w:tc>
          <w:tcPr>
            <w:tcW w:w="74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3D60166">
            <w:pPr>
              <w:spacing w:line="400" w:lineRule="exact"/>
              <w:jc w:val="center"/>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据实结算</w:t>
            </w:r>
          </w:p>
        </w:tc>
      </w:tr>
    </w:tbl>
    <w:p w14:paraId="4B7445EF">
      <w:pPr>
        <w:pStyle w:val="7"/>
        <w:spacing w:line="460" w:lineRule="exact"/>
        <w:ind w:firstLine="482" w:firstLineChars="200"/>
        <w:jc w:val="left"/>
        <w:outlineLvl w:val="2"/>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二、</w:t>
      </w:r>
      <w:r>
        <w:rPr>
          <w:rFonts w:hint="eastAsia" w:ascii="宋体" w:hAnsi="宋体" w:eastAsia="宋体" w:cs="宋体"/>
          <w:b/>
          <w:color w:val="auto"/>
          <w:sz w:val="24"/>
          <w:szCs w:val="24"/>
          <w:highlight w:val="none"/>
        </w:rPr>
        <w:t>技术要求</w:t>
      </w:r>
    </w:p>
    <w:tbl>
      <w:tblPr>
        <w:tblStyle w:val="5"/>
        <w:tblW w:w="9000"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605"/>
        <w:gridCol w:w="1920"/>
        <w:gridCol w:w="2925"/>
        <w:gridCol w:w="1635"/>
      </w:tblGrid>
      <w:tr w14:paraId="6CD0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15" w:type="dxa"/>
            <w:noWrap w:val="0"/>
            <w:vAlign w:val="top"/>
          </w:tcPr>
          <w:p w14:paraId="03FE0210">
            <w:pPr>
              <w:keepNext w:val="0"/>
              <w:keepLines w:val="0"/>
              <w:pageBreakBefore w:val="0"/>
              <w:numPr>
                <w:ilvl w:val="0"/>
                <w:numId w:val="0"/>
              </w:numPr>
              <w:kinsoku/>
              <w:wordWrap/>
              <w:overflowPunct/>
              <w:topLinePunct w:val="0"/>
              <w:autoSpaceDE/>
              <w:autoSpaceDN/>
              <w:bidi w:val="0"/>
              <w:adjustRightInd/>
              <w:snapToGrid/>
              <w:spacing w:line="460" w:lineRule="exact"/>
              <w:jc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color w:val="auto"/>
                <w:sz w:val="24"/>
                <w:szCs w:val="24"/>
                <w:highlight w:val="none"/>
                <w:shd w:val="clear" w:color="auto" w:fill="auto"/>
                <w:vertAlign w:val="baseline"/>
                <w:lang w:val="en-US" w:eastAsia="zh-CN"/>
              </w:rPr>
              <w:t>编号</w:t>
            </w:r>
          </w:p>
        </w:tc>
        <w:tc>
          <w:tcPr>
            <w:tcW w:w="1605" w:type="dxa"/>
            <w:noWrap w:val="0"/>
            <w:vAlign w:val="top"/>
          </w:tcPr>
          <w:p w14:paraId="57E47C1D">
            <w:pPr>
              <w:keepNext w:val="0"/>
              <w:keepLines w:val="0"/>
              <w:pageBreakBefore w:val="0"/>
              <w:numPr>
                <w:ilvl w:val="0"/>
                <w:numId w:val="0"/>
              </w:numPr>
              <w:kinsoku/>
              <w:wordWrap/>
              <w:overflowPunct/>
              <w:topLinePunct w:val="0"/>
              <w:autoSpaceDE/>
              <w:autoSpaceDN/>
              <w:bidi w:val="0"/>
              <w:adjustRightInd/>
              <w:snapToGrid/>
              <w:spacing w:line="460" w:lineRule="exact"/>
              <w:jc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color w:val="auto"/>
                <w:sz w:val="24"/>
                <w:szCs w:val="24"/>
                <w:highlight w:val="none"/>
                <w:shd w:val="clear" w:color="auto" w:fill="auto"/>
                <w:vertAlign w:val="baseline"/>
                <w:lang w:val="en-US" w:eastAsia="zh-CN"/>
              </w:rPr>
              <w:t>标的名称</w:t>
            </w:r>
          </w:p>
        </w:tc>
        <w:tc>
          <w:tcPr>
            <w:tcW w:w="1920" w:type="dxa"/>
            <w:noWrap w:val="0"/>
            <w:vAlign w:val="top"/>
          </w:tcPr>
          <w:p w14:paraId="4D99BF9F">
            <w:pPr>
              <w:keepNext w:val="0"/>
              <w:keepLines w:val="0"/>
              <w:pageBreakBefore w:val="0"/>
              <w:numPr>
                <w:ilvl w:val="0"/>
                <w:numId w:val="0"/>
              </w:numPr>
              <w:kinsoku/>
              <w:wordWrap/>
              <w:overflowPunct/>
              <w:topLinePunct w:val="0"/>
              <w:autoSpaceDE/>
              <w:autoSpaceDN/>
              <w:bidi w:val="0"/>
              <w:adjustRightInd/>
              <w:snapToGrid/>
              <w:spacing w:line="460" w:lineRule="exact"/>
              <w:jc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color w:val="auto"/>
                <w:sz w:val="24"/>
                <w:szCs w:val="24"/>
                <w:highlight w:val="none"/>
                <w:shd w:val="clear" w:color="auto" w:fill="auto"/>
                <w:vertAlign w:val="baseline"/>
                <w:lang w:val="en-US" w:eastAsia="zh-CN"/>
              </w:rPr>
              <w:t>★医保耗材代码</w:t>
            </w:r>
          </w:p>
        </w:tc>
        <w:tc>
          <w:tcPr>
            <w:tcW w:w="2925" w:type="dxa"/>
            <w:noWrap w:val="0"/>
            <w:vAlign w:val="top"/>
          </w:tcPr>
          <w:p w14:paraId="1AC49A56">
            <w:pPr>
              <w:keepNext w:val="0"/>
              <w:keepLines w:val="0"/>
              <w:pageBreakBefore w:val="0"/>
              <w:numPr>
                <w:ilvl w:val="0"/>
                <w:numId w:val="0"/>
              </w:numPr>
              <w:tabs>
                <w:tab w:val="left" w:pos="403"/>
              </w:tabs>
              <w:kinsoku/>
              <w:wordWrap/>
              <w:overflowPunct/>
              <w:topLinePunct w:val="0"/>
              <w:autoSpaceDE/>
              <w:autoSpaceDN/>
              <w:bidi w:val="0"/>
              <w:adjustRightInd/>
              <w:snapToGrid/>
              <w:spacing w:line="460" w:lineRule="exact"/>
              <w:jc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color w:val="auto"/>
                <w:sz w:val="24"/>
                <w:szCs w:val="24"/>
                <w:highlight w:val="none"/>
                <w:shd w:val="clear" w:color="auto" w:fill="auto"/>
                <w:vertAlign w:val="baseline"/>
                <w:lang w:val="en-US" w:eastAsia="zh-CN"/>
              </w:rPr>
              <w:t>★用途</w:t>
            </w:r>
          </w:p>
        </w:tc>
        <w:tc>
          <w:tcPr>
            <w:tcW w:w="1635" w:type="dxa"/>
            <w:noWrap w:val="0"/>
            <w:vAlign w:val="top"/>
          </w:tcPr>
          <w:p w14:paraId="23569A66">
            <w:pPr>
              <w:keepNext w:val="0"/>
              <w:keepLines w:val="0"/>
              <w:pageBreakBefore w:val="0"/>
              <w:numPr>
                <w:ilvl w:val="0"/>
                <w:numId w:val="0"/>
              </w:numPr>
              <w:kinsoku/>
              <w:wordWrap/>
              <w:overflowPunct/>
              <w:topLinePunct w:val="0"/>
              <w:autoSpaceDE/>
              <w:autoSpaceDN/>
              <w:bidi w:val="0"/>
              <w:adjustRightInd/>
              <w:snapToGrid/>
              <w:spacing w:line="460" w:lineRule="exact"/>
              <w:jc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color w:val="auto"/>
                <w:sz w:val="24"/>
                <w:szCs w:val="24"/>
                <w:highlight w:val="none"/>
                <w:shd w:val="clear" w:color="auto" w:fill="auto"/>
                <w:vertAlign w:val="baseline"/>
                <w:lang w:val="en-US" w:eastAsia="zh-CN"/>
              </w:rPr>
              <w:t>参考规格</w:t>
            </w:r>
          </w:p>
        </w:tc>
      </w:tr>
      <w:tr w14:paraId="178F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center"/>
          </w:tcPr>
          <w:p w14:paraId="68D7931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i w:val="0"/>
                <w:iCs w:val="0"/>
                <w:color w:val="auto"/>
                <w:kern w:val="0"/>
                <w:sz w:val="24"/>
                <w:szCs w:val="24"/>
                <w:u w:val="none"/>
                <w:lang w:val="en-US" w:eastAsia="zh-CN" w:bidi="ar"/>
              </w:rPr>
              <w:t>1</w:t>
            </w:r>
          </w:p>
        </w:tc>
        <w:tc>
          <w:tcPr>
            <w:tcW w:w="1605" w:type="dxa"/>
            <w:noWrap w:val="0"/>
            <w:vAlign w:val="center"/>
          </w:tcPr>
          <w:p w14:paraId="385DAD7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一次性使用无菌鼻氧管</w:t>
            </w:r>
          </w:p>
        </w:tc>
        <w:tc>
          <w:tcPr>
            <w:tcW w:w="1920" w:type="dxa"/>
            <w:noWrap w:val="0"/>
            <w:vAlign w:val="center"/>
          </w:tcPr>
          <w:p w14:paraId="11FA8DC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C140202266</w:t>
            </w:r>
          </w:p>
        </w:tc>
        <w:tc>
          <w:tcPr>
            <w:tcW w:w="2925" w:type="dxa"/>
            <w:noWrap w:val="0"/>
            <w:vAlign w:val="center"/>
          </w:tcPr>
          <w:p w14:paraId="13202E8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将氧气输送到病人的呼吸道中,帮助病人进行呼吸。型号需满足成人和儿童。</w:t>
            </w:r>
          </w:p>
        </w:tc>
        <w:tc>
          <w:tcPr>
            <w:tcW w:w="1635" w:type="dxa"/>
            <w:noWrap w:val="0"/>
            <w:vAlign w:val="center"/>
          </w:tcPr>
          <w:p w14:paraId="7CA4DE9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w:t>
            </w:r>
          </w:p>
        </w:tc>
      </w:tr>
      <w:tr w14:paraId="00D6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center"/>
          </w:tcPr>
          <w:p w14:paraId="3FC5F9D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i w:val="0"/>
                <w:iCs w:val="0"/>
                <w:color w:val="auto"/>
                <w:kern w:val="0"/>
                <w:sz w:val="24"/>
                <w:szCs w:val="24"/>
                <w:u w:val="none"/>
                <w:lang w:val="en-US" w:eastAsia="zh-CN" w:bidi="ar"/>
              </w:rPr>
              <w:t>2</w:t>
            </w:r>
          </w:p>
        </w:tc>
        <w:tc>
          <w:tcPr>
            <w:tcW w:w="1605" w:type="dxa"/>
            <w:noWrap w:val="0"/>
            <w:vAlign w:val="center"/>
          </w:tcPr>
          <w:p w14:paraId="2332A7E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医用雾化器</w:t>
            </w:r>
          </w:p>
        </w:tc>
        <w:tc>
          <w:tcPr>
            <w:tcW w:w="1920" w:type="dxa"/>
            <w:noWrap w:val="0"/>
            <w:vAlign w:val="center"/>
          </w:tcPr>
          <w:p w14:paraId="31B3A68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C140201182</w:t>
            </w:r>
          </w:p>
        </w:tc>
        <w:tc>
          <w:tcPr>
            <w:tcW w:w="2925" w:type="dxa"/>
            <w:noWrap w:val="0"/>
            <w:vAlign w:val="center"/>
          </w:tcPr>
          <w:p w14:paraId="435DDF4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通过将液体药物转变为气体，送入患者呼吸道内，对呼吸性疾病进行治疗。型号需满足成人和儿童。</w:t>
            </w:r>
          </w:p>
        </w:tc>
        <w:tc>
          <w:tcPr>
            <w:tcW w:w="1635" w:type="dxa"/>
            <w:noWrap w:val="0"/>
            <w:vAlign w:val="center"/>
          </w:tcPr>
          <w:p w14:paraId="22A4590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w:t>
            </w:r>
          </w:p>
        </w:tc>
      </w:tr>
      <w:tr w14:paraId="0FE3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center"/>
          </w:tcPr>
          <w:p w14:paraId="51C1F1F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i w:val="0"/>
                <w:iCs w:val="0"/>
                <w:color w:val="auto"/>
                <w:kern w:val="0"/>
                <w:sz w:val="24"/>
                <w:szCs w:val="24"/>
                <w:u w:val="none"/>
                <w:lang w:val="en-US" w:eastAsia="zh-CN" w:bidi="ar"/>
              </w:rPr>
              <w:t>3</w:t>
            </w:r>
          </w:p>
        </w:tc>
        <w:tc>
          <w:tcPr>
            <w:tcW w:w="1605" w:type="dxa"/>
            <w:noWrap w:val="0"/>
            <w:vAlign w:val="center"/>
          </w:tcPr>
          <w:p w14:paraId="2E55E37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氧气面罩</w:t>
            </w:r>
          </w:p>
        </w:tc>
        <w:tc>
          <w:tcPr>
            <w:tcW w:w="1920" w:type="dxa"/>
            <w:noWrap w:val="0"/>
            <w:vAlign w:val="center"/>
          </w:tcPr>
          <w:p w14:paraId="7C15B33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C140202267</w:t>
            </w:r>
          </w:p>
        </w:tc>
        <w:tc>
          <w:tcPr>
            <w:tcW w:w="2925" w:type="dxa"/>
            <w:noWrap w:val="0"/>
            <w:vAlign w:val="center"/>
          </w:tcPr>
          <w:p w14:paraId="6602F70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供呼吸困难、缺氧病人输氧时使用。</w:t>
            </w:r>
          </w:p>
        </w:tc>
        <w:tc>
          <w:tcPr>
            <w:tcW w:w="1635" w:type="dxa"/>
            <w:noWrap w:val="0"/>
            <w:vAlign w:val="center"/>
          </w:tcPr>
          <w:p w14:paraId="3FDDAB9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w:t>
            </w:r>
          </w:p>
        </w:tc>
      </w:tr>
      <w:tr w14:paraId="3285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center"/>
          </w:tcPr>
          <w:p w14:paraId="58E0C8A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1605" w:type="dxa"/>
            <w:noWrap w:val="0"/>
            <w:vAlign w:val="center"/>
          </w:tcPr>
          <w:p w14:paraId="4835F76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针灸针</w:t>
            </w:r>
          </w:p>
        </w:tc>
        <w:tc>
          <w:tcPr>
            <w:tcW w:w="1920" w:type="dxa"/>
            <w:noWrap w:val="0"/>
            <w:vAlign w:val="center"/>
          </w:tcPr>
          <w:p w14:paraId="67B3B99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C130201179</w:t>
            </w:r>
          </w:p>
        </w:tc>
        <w:tc>
          <w:tcPr>
            <w:tcW w:w="2925" w:type="dxa"/>
            <w:noWrap w:val="0"/>
            <w:vAlign w:val="center"/>
          </w:tcPr>
          <w:p w14:paraId="56C6D6D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用于刺激全身各部位特定穴位，发挥治疗内、外、伤、妇女、儿、五官、皮肤等多科疾病的作用。</w:t>
            </w:r>
          </w:p>
        </w:tc>
        <w:tc>
          <w:tcPr>
            <w:tcW w:w="1635" w:type="dxa"/>
            <w:noWrap w:val="0"/>
            <w:vAlign w:val="center"/>
          </w:tcPr>
          <w:p w14:paraId="7BC34BB1">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规格：0.3*40mm、0.3*25mm、0.3*75mm</w:t>
            </w:r>
          </w:p>
        </w:tc>
      </w:tr>
      <w:tr w14:paraId="3587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center"/>
          </w:tcPr>
          <w:p w14:paraId="7756000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w:t>
            </w:r>
          </w:p>
        </w:tc>
        <w:tc>
          <w:tcPr>
            <w:tcW w:w="1605" w:type="dxa"/>
            <w:noWrap w:val="0"/>
            <w:vAlign w:val="center"/>
          </w:tcPr>
          <w:p w14:paraId="31B5E19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一次性使用阴道扩张器（中号）</w:t>
            </w:r>
          </w:p>
        </w:tc>
        <w:tc>
          <w:tcPr>
            <w:tcW w:w="1920" w:type="dxa"/>
            <w:noWrap w:val="0"/>
            <w:vAlign w:val="center"/>
          </w:tcPr>
          <w:p w14:paraId="54F7E5B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C140202269</w:t>
            </w:r>
          </w:p>
        </w:tc>
        <w:tc>
          <w:tcPr>
            <w:tcW w:w="2925" w:type="dxa"/>
            <w:noWrap w:val="0"/>
            <w:vAlign w:val="center"/>
          </w:tcPr>
          <w:p w14:paraId="2B93703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要用于妇科常规检查。通常,阴道扩张器可以用来扩张阴道,检查阴道壁和宫颈的具体情况。</w:t>
            </w:r>
          </w:p>
        </w:tc>
        <w:tc>
          <w:tcPr>
            <w:tcW w:w="1635" w:type="dxa"/>
            <w:noWrap w:val="0"/>
            <w:vAlign w:val="center"/>
          </w:tcPr>
          <w:p w14:paraId="7B7A271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中号</w:t>
            </w:r>
          </w:p>
        </w:tc>
      </w:tr>
      <w:tr w14:paraId="7565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center"/>
          </w:tcPr>
          <w:p w14:paraId="5BBB5F4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w:t>
            </w:r>
          </w:p>
        </w:tc>
        <w:tc>
          <w:tcPr>
            <w:tcW w:w="1605" w:type="dxa"/>
            <w:noWrap w:val="0"/>
            <w:vAlign w:val="center"/>
          </w:tcPr>
          <w:p w14:paraId="012D1CD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一次性使用阴道扩张器（小号）</w:t>
            </w:r>
          </w:p>
        </w:tc>
        <w:tc>
          <w:tcPr>
            <w:tcW w:w="1920" w:type="dxa"/>
            <w:noWrap w:val="0"/>
            <w:vAlign w:val="center"/>
          </w:tcPr>
          <w:p w14:paraId="4B05945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C140202269</w:t>
            </w:r>
          </w:p>
        </w:tc>
        <w:tc>
          <w:tcPr>
            <w:tcW w:w="2925" w:type="dxa"/>
            <w:noWrap w:val="0"/>
            <w:vAlign w:val="center"/>
          </w:tcPr>
          <w:p w14:paraId="09A42A4F">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要用于妇科常规检查。通常,阴道扩张器可以用来扩张阴道,检查阴道壁和宫颈的具体情况。</w:t>
            </w:r>
          </w:p>
        </w:tc>
        <w:tc>
          <w:tcPr>
            <w:tcW w:w="1635" w:type="dxa"/>
            <w:noWrap w:val="0"/>
            <w:vAlign w:val="center"/>
          </w:tcPr>
          <w:p w14:paraId="3B14875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宋体" w:hAnsi="宋体" w:eastAsia="宋体" w:cs="宋体"/>
                <w:b w:val="0"/>
                <w:bCs w:val="0"/>
                <w:color w:val="auto"/>
                <w:sz w:val="24"/>
                <w:szCs w:val="24"/>
                <w:highlight w:val="none"/>
                <w:shd w:val="clear" w:color="auto" w:fill="auto"/>
                <w:vertAlign w:val="baseline"/>
                <w:lang w:val="en-US" w:eastAsia="zh-CN"/>
              </w:rPr>
            </w:pPr>
            <w:r>
              <w:rPr>
                <w:rFonts w:hint="eastAsia" w:ascii="宋体" w:hAnsi="宋体" w:eastAsia="宋体" w:cs="宋体"/>
                <w:b w:val="0"/>
                <w:bCs w:val="0"/>
                <w:color w:val="auto"/>
                <w:sz w:val="24"/>
                <w:szCs w:val="24"/>
                <w:highlight w:val="none"/>
                <w:shd w:val="clear" w:color="auto" w:fill="auto"/>
                <w:vertAlign w:val="baseline"/>
                <w:lang w:val="en-US" w:eastAsia="zh-CN"/>
              </w:rPr>
              <w:t>小号</w:t>
            </w:r>
          </w:p>
        </w:tc>
      </w:tr>
    </w:tbl>
    <w:p w14:paraId="5CC2A634">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color w:val="auto"/>
          <w:sz w:val="24"/>
          <w:szCs w:val="24"/>
          <w:highlight w:val="none"/>
          <w:shd w:val="clear" w:color="auto" w:fill="auto"/>
          <w:lang w:val="en-US" w:eastAsia="zh-CN"/>
        </w:rPr>
      </w:pPr>
    </w:p>
    <w:p w14:paraId="13A66C3A">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shd w:val="clear" w:color="auto" w:fill="auto"/>
          <w:lang w:val="en-US" w:eastAsia="zh-CN"/>
        </w:rPr>
        <w:t>★</w:t>
      </w:r>
      <w:r>
        <w:rPr>
          <w:rFonts w:hint="eastAsia" w:ascii="宋体" w:hAnsi="宋体" w:eastAsia="宋体" w:cs="宋体"/>
          <w:b/>
          <w:color w:val="auto"/>
          <w:sz w:val="24"/>
          <w:szCs w:val="24"/>
          <w:highlight w:val="none"/>
          <w:lang w:eastAsia="zh-CN"/>
        </w:rPr>
        <w:t>三、</w:t>
      </w:r>
      <w:r>
        <w:rPr>
          <w:rFonts w:hint="eastAsia" w:ascii="宋体" w:hAnsi="宋体" w:eastAsia="宋体" w:cs="宋体"/>
          <w:b/>
          <w:color w:val="auto"/>
          <w:sz w:val="24"/>
          <w:szCs w:val="24"/>
          <w:highlight w:val="none"/>
          <w:lang w:val="en-US" w:eastAsia="zh-CN"/>
        </w:rPr>
        <w:t>项目采购要求</w:t>
      </w:r>
    </w:p>
    <w:p w14:paraId="0B3D24AB">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w:t>
      </w:r>
      <w:r>
        <w:rPr>
          <w:rFonts w:hint="eastAsia" w:ascii="宋体" w:hAnsi="宋体" w:cs="宋体"/>
          <w:b/>
          <w:color w:val="auto"/>
          <w:sz w:val="24"/>
          <w:szCs w:val="24"/>
          <w:highlight w:val="none"/>
          <w:lang w:val="en-US" w:eastAsia="zh-CN"/>
        </w:rPr>
        <w:t>一</w:t>
      </w:r>
      <w:r>
        <w:rPr>
          <w:rFonts w:hint="eastAsia" w:ascii="宋体" w:hAnsi="宋体" w:eastAsia="宋体" w:cs="宋体"/>
          <w:b/>
          <w:color w:val="auto"/>
          <w:sz w:val="24"/>
          <w:szCs w:val="24"/>
          <w:highlight w:val="none"/>
          <w:lang w:val="en-US" w:eastAsia="zh-CN"/>
        </w:rPr>
        <w:t>）</w:t>
      </w:r>
      <w:r>
        <w:rPr>
          <w:rFonts w:hint="eastAsia" w:ascii="宋体" w:hAnsi="宋体" w:cs="宋体"/>
          <w:b/>
          <w:color w:val="auto"/>
          <w:sz w:val="24"/>
          <w:szCs w:val="24"/>
          <w:highlight w:val="none"/>
          <w:lang w:val="en-US" w:eastAsia="zh-CN"/>
        </w:rPr>
        <w:t>挂网需求</w:t>
      </w:r>
    </w:p>
    <w:p w14:paraId="4BEA12F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color w:val="auto"/>
          <w:kern w:val="0"/>
          <w:sz w:val="24"/>
          <w:highlight w:val="none"/>
          <w:u w:val="none"/>
          <w:lang w:bidi="ar"/>
        </w:rPr>
      </w:pPr>
      <w:r>
        <w:rPr>
          <w:rFonts w:hint="eastAsia" w:ascii="宋体" w:hAnsi="宋体" w:cs="宋体"/>
          <w:color w:val="auto"/>
          <w:kern w:val="0"/>
          <w:sz w:val="24"/>
          <w:highlight w:val="none"/>
          <w:u w:val="none"/>
          <w:lang w:bidi="ar"/>
        </w:rPr>
        <w:t>本项目所有标的均须提供挂网产品。</w:t>
      </w:r>
    </w:p>
    <w:p w14:paraId="3FBC529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
          <w:color w:val="auto"/>
          <w:sz w:val="24"/>
          <w:szCs w:val="24"/>
          <w:highlight w:val="none"/>
          <w:lang w:val="en-US" w:eastAsia="zh-CN"/>
        </w:rPr>
      </w:pPr>
      <w:r>
        <w:rPr>
          <w:rFonts w:hint="eastAsia" w:ascii="宋体" w:hAnsi="宋体" w:cs="宋体"/>
          <w:color w:val="auto"/>
          <w:kern w:val="0"/>
          <w:sz w:val="24"/>
          <w:highlight w:val="none"/>
          <w:u w:val="none"/>
          <w:lang w:bidi="ar"/>
        </w:rPr>
        <w:t>注：本项目中所指“挂网产品”，为“四川省药品和医用耗材招采管理系统”中已挂网产品（不含正在挂网和备案的产品）。</w:t>
      </w:r>
    </w:p>
    <w:p w14:paraId="54E3E48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（二）</w:t>
      </w:r>
      <w:r>
        <w:rPr>
          <w:rFonts w:hint="eastAsia" w:ascii="宋体" w:hAnsi="宋体" w:eastAsia="宋体" w:cs="宋体"/>
          <w:b/>
          <w:color w:val="auto"/>
          <w:sz w:val="24"/>
          <w:szCs w:val="24"/>
          <w:highlight w:val="none"/>
          <w:lang w:val="en-US" w:eastAsia="zh-CN"/>
        </w:rPr>
        <w:t>样品要求</w:t>
      </w:r>
    </w:p>
    <w:p w14:paraId="48FDD3B1">
      <w:pPr>
        <w:keepNext w:val="0"/>
        <w:keepLines w:val="0"/>
        <w:pageBreakBefore w:val="0"/>
        <w:kinsoku/>
        <w:wordWrap/>
        <w:overflowPunct/>
        <w:topLinePunct w:val="0"/>
        <w:autoSpaceDE/>
        <w:autoSpaceDN/>
        <w:bidi w:val="0"/>
        <w:adjustRightInd/>
        <w:snapToGrid/>
        <w:spacing w:line="460" w:lineRule="exact"/>
        <w:ind w:firstLine="482" w:firstLineChars="200"/>
        <w:jc w:val="left"/>
        <w:textAlignment w:val="center"/>
        <w:rPr>
          <w:rFonts w:hint="eastAsia" w:ascii="宋体" w:hAnsi="宋体" w:cs="宋体"/>
          <w:b/>
          <w:bCs/>
          <w:color w:val="auto"/>
          <w:kern w:val="0"/>
          <w:sz w:val="24"/>
          <w:highlight w:val="none"/>
          <w:u w:val="none"/>
          <w:lang w:bidi="ar"/>
        </w:rPr>
      </w:pPr>
      <w:r>
        <w:rPr>
          <w:rFonts w:hint="eastAsia" w:ascii="宋体" w:hAnsi="宋体" w:cs="宋体"/>
          <w:b/>
          <w:bCs/>
          <w:color w:val="auto"/>
          <w:kern w:val="0"/>
          <w:sz w:val="24"/>
          <w:highlight w:val="none"/>
          <w:u w:val="none"/>
          <w:lang w:bidi="ar"/>
        </w:rPr>
        <w:t>1.必须提供样品，以供评审专家现场评审。</w:t>
      </w:r>
    </w:p>
    <w:p w14:paraId="6A9B870F">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cs="宋体"/>
          <w:b w:val="0"/>
          <w:bCs w:val="0"/>
          <w:color w:val="auto"/>
          <w:kern w:val="0"/>
          <w:sz w:val="24"/>
          <w:highlight w:val="none"/>
          <w:u w:val="none"/>
          <w:lang w:bidi="ar"/>
        </w:rPr>
      </w:pPr>
      <w:r>
        <w:rPr>
          <w:rFonts w:hint="eastAsia" w:ascii="宋体" w:hAnsi="宋体" w:cs="宋体"/>
          <w:b w:val="0"/>
          <w:bCs w:val="0"/>
          <w:color w:val="auto"/>
          <w:kern w:val="0"/>
          <w:sz w:val="24"/>
          <w:highlight w:val="none"/>
          <w:u w:val="none"/>
          <w:lang w:bidi="ar"/>
        </w:rPr>
        <w:t>2.提交的样品不符合实际需求或存在原理错误则视为无效响应。</w:t>
      </w:r>
    </w:p>
    <w:p w14:paraId="3989F79E">
      <w:pPr>
        <w:spacing w:line="460" w:lineRule="exact"/>
        <w:ind w:firstLine="480" w:firstLineChars="200"/>
        <w:textAlignment w:val="center"/>
        <w:rPr>
          <w:rFonts w:hint="eastAsia" w:ascii="宋体" w:hAnsi="宋体" w:cs="宋体"/>
          <w:color w:val="auto"/>
          <w:kern w:val="0"/>
          <w:sz w:val="24"/>
          <w:highlight w:val="none"/>
          <w:u w:val="none"/>
          <w:lang w:val="en-US" w:eastAsia="zh-CN" w:bidi="ar"/>
        </w:rPr>
      </w:pPr>
      <w:r>
        <w:rPr>
          <w:rFonts w:hint="eastAsia" w:ascii="宋体" w:hAnsi="宋体" w:cs="宋体"/>
          <w:b w:val="0"/>
          <w:bCs w:val="0"/>
          <w:color w:val="auto"/>
          <w:kern w:val="0"/>
          <w:sz w:val="24"/>
          <w:highlight w:val="none"/>
          <w:u w:val="none"/>
          <w:lang w:bidi="ar"/>
        </w:rPr>
        <w:t>3.本项目</w:t>
      </w:r>
      <w:r>
        <w:rPr>
          <w:rFonts w:hint="eastAsia" w:ascii="宋体" w:hAnsi="宋体" w:cs="宋体"/>
          <w:b w:val="0"/>
          <w:bCs w:val="0"/>
          <w:color w:val="auto"/>
          <w:kern w:val="0"/>
          <w:sz w:val="24"/>
          <w:highlight w:val="none"/>
          <w:u w:val="none"/>
          <w:lang w:eastAsia="zh-CN" w:bidi="ar"/>
        </w:rPr>
        <w:t>竞选人</w:t>
      </w:r>
      <w:r>
        <w:rPr>
          <w:rFonts w:hint="eastAsia" w:ascii="宋体" w:hAnsi="宋体" w:cs="宋体"/>
          <w:b w:val="0"/>
          <w:bCs w:val="0"/>
          <w:color w:val="auto"/>
          <w:kern w:val="0"/>
          <w:sz w:val="24"/>
          <w:highlight w:val="none"/>
          <w:u w:val="none"/>
          <w:lang w:bidi="ar"/>
        </w:rPr>
        <w:t>提供的样品，应与该</w:t>
      </w:r>
      <w:r>
        <w:rPr>
          <w:rFonts w:hint="eastAsia" w:ascii="宋体" w:hAnsi="宋体" w:cs="宋体"/>
          <w:b w:val="0"/>
          <w:bCs w:val="0"/>
          <w:color w:val="auto"/>
          <w:kern w:val="0"/>
          <w:sz w:val="24"/>
          <w:highlight w:val="none"/>
          <w:u w:val="none"/>
          <w:lang w:eastAsia="zh-CN" w:bidi="ar"/>
        </w:rPr>
        <w:t>竞选人</w:t>
      </w:r>
      <w:r>
        <w:rPr>
          <w:rFonts w:hint="eastAsia" w:ascii="宋体" w:hAnsi="宋体" w:cs="宋体"/>
          <w:b w:val="0"/>
          <w:bCs w:val="0"/>
          <w:color w:val="auto"/>
          <w:kern w:val="0"/>
          <w:sz w:val="24"/>
          <w:highlight w:val="none"/>
          <w:u w:val="none"/>
          <w:lang w:bidi="ar"/>
        </w:rPr>
        <w:t>响应文件保持一致（具体参考《医疗器械说明书和标签管理规定》）。</w:t>
      </w:r>
    </w:p>
    <w:p w14:paraId="198FDD4A">
      <w:pPr>
        <w:spacing w:line="460" w:lineRule="exact"/>
        <w:ind w:firstLine="482" w:firstLineChars="200"/>
        <w:textAlignment w:val="center"/>
        <w:rPr>
          <w:rFonts w:hint="eastAsia" w:ascii="宋体" w:hAnsi="宋体" w:eastAsia="宋体" w:cs="宋体"/>
          <w:b/>
          <w:bCs/>
          <w:color w:val="auto"/>
          <w:kern w:val="0"/>
          <w:sz w:val="24"/>
          <w:szCs w:val="24"/>
          <w:highlight w:val="none"/>
          <w:u w:val="none"/>
          <w:lang w:val="en-US" w:eastAsia="zh-CN" w:bidi="ar"/>
        </w:rPr>
      </w:pPr>
      <w:r>
        <w:rPr>
          <w:rFonts w:hint="eastAsia" w:ascii="宋体" w:hAnsi="宋体" w:cs="宋体"/>
          <w:b/>
          <w:bCs/>
          <w:color w:val="auto"/>
          <w:kern w:val="0"/>
          <w:sz w:val="24"/>
          <w:highlight w:val="none"/>
          <w:u w:val="none"/>
          <w:lang w:val="en-US" w:eastAsia="zh-CN" w:bidi="ar"/>
        </w:rPr>
        <w:t>注：挂网产品价格需满足平台相关要求，包括但不限于：报价不高于“截止上月月末全省医疗机构采购加权平均价、我省最高参考价、联动参考价”。</w:t>
      </w:r>
    </w:p>
    <w:p w14:paraId="13733140">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shd w:val="clear" w:color="auto" w:fill="auto"/>
          <w:lang w:val="en-US" w:eastAsia="zh-CN"/>
        </w:rPr>
        <w:t>★</w:t>
      </w:r>
      <w:r>
        <w:rPr>
          <w:rFonts w:hint="eastAsia" w:ascii="宋体" w:hAnsi="宋体" w:eastAsia="宋体" w:cs="宋体"/>
          <w:b/>
          <w:color w:val="auto"/>
          <w:sz w:val="24"/>
          <w:szCs w:val="24"/>
          <w:highlight w:val="none"/>
          <w:lang w:val="en-US" w:eastAsia="zh-CN"/>
        </w:rPr>
        <w:t>四、商务</w:t>
      </w:r>
      <w:r>
        <w:rPr>
          <w:rFonts w:hint="eastAsia" w:ascii="宋体" w:hAnsi="宋体" w:eastAsia="宋体" w:cs="宋体"/>
          <w:b/>
          <w:color w:val="auto"/>
          <w:sz w:val="24"/>
          <w:szCs w:val="24"/>
          <w:highlight w:val="none"/>
        </w:rPr>
        <w:t>要求</w:t>
      </w:r>
      <w:r>
        <w:rPr>
          <w:rFonts w:hint="eastAsia" w:ascii="宋体" w:hAnsi="宋体" w:eastAsia="宋体" w:cs="宋体"/>
          <w:b/>
          <w:bCs/>
          <w:color w:val="auto"/>
          <w:sz w:val="24"/>
          <w:szCs w:val="24"/>
          <w:highlight w:val="none"/>
          <w:lang w:val="en-US" w:eastAsia="zh-CN"/>
        </w:rPr>
        <w:t>：</w:t>
      </w:r>
    </w:p>
    <w:p w14:paraId="67BF3F28">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（一）交货期及地点</w:t>
      </w:r>
    </w:p>
    <w:p w14:paraId="486CD0F1">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cs="宋体"/>
          <w:color w:val="auto"/>
          <w:kern w:val="0"/>
          <w:sz w:val="24"/>
          <w:highlight w:val="none"/>
          <w:u w:val="none"/>
          <w:lang w:bidi="ar"/>
        </w:rPr>
      </w:pPr>
      <w:r>
        <w:rPr>
          <w:rFonts w:hint="eastAsia" w:ascii="宋体" w:hAnsi="宋体" w:eastAsia="宋体" w:cs="宋体"/>
          <w:b w:val="0"/>
          <w:bCs w:val="0"/>
          <w:color w:val="auto"/>
          <w:kern w:val="0"/>
          <w:sz w:val="24"/>
          <w:szCs w:val="24"/>
          <w:highlight w:val="none"/>
          <w:u w:val="none"/>
          <w:lang w:val="en-US" w:eastAsia="zh-CN" w:bidi="ar"/>
        </w:rPr>
        <w:t>1.交货期：</w:t>
      </w:r>
      <w:r>
        <w:rPr>
          <w:rFonts w:hint="eastAsia" w:ascii="宋体" w:hAnsi="宋体" w:cs="宋体"/>
          <w:color w:val="auto"/>
          <w:kern w:val="0"/>
          <w:sz w:val="24"/>
          <w:highlight w:val="none"/>
          <w:u w:val="none"/>
          <w:lang w:bidi="ar"/>
        </w:rPr>
        <w:t>每次配送时间必须严格按照采购人配送通知执行，</w:t>
      </w:r>
      <w:r>
        <w:rPr>
          <w:rFonts w:hint="eastAsia" w:ascii="宋体" w:hAnsi="宋体" w:cs="宋体"/>
          <w:color w:val="auto"/>
          <w:kern w:val="0"/>
          <w:sz w:val="24"/>
          <w:highlight w:val="none"/>
          <w:u w:val="none"/>
          <w:lang w:eastAsia="zh-CN" w:bidi="ar"/>
        </w:rPr>
        <w:t>中选供应商</w:t>
      </w:r>
      <w:r>
        <w:rPr>
          <w:rFonts w:hint="eastAsia" w:ascii="宋体" w:hAnsi="宋体" w:cs="宋体"/>
          <w:color w:val="auto"/>
          <w:kern w:val="0"/>
          <w:sz w:val="24"/>
          <w:highlight w:val="none"/>
          <w:u w:val="none"/>
          <w:lang w:bidi="ar"/>
        </w:rPr>
        <w:t>应于收到通知后2小时内响应。急救耗材的配送时间不应超过4小时，一般耗材原则上的配送时间不应超过2个工作日。</w:t>
      </w:r>
    </w:p>
    <w:p w14:paraId="64ABE15B">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b w:val="0"/>
          <w:bCs w:val="0"/>
          <w:color w:val="auto"/>
          <w:kern w:val="0"/>
          <w:sz w:val="24"/>
          <w:szCs w:val="24"/>
          <w:highlight w:val="none"/>
          <w:u w:val="none"/>
          <w:lang w:val="en-US" w:eastAsia="zh-CN" w:bidi="ar"/>
        </w:rPr>
        <w:t>2.交货地点：内江市第一人民医院指定地点。</w:t>
      </w:r>
    </w:p>
    <w:p w14:paraId="5130BA46">
      <w:pPr>
        <w:pStyle w:val="7"/>
        <w:keepNext w:val="0"/>
        <w:keepLines w:val="0"/>
        <w:pageBreakBefore w:val="0"/>
        <w:kinsoku/>
        <w:wordWrap/>
        <w:overflowPunct/>
        <w:topLinePunct w:val="0"/>
        <w:autoSpaceDE/>
        <w:autoSpaceDN/>
        <w:bidi w:val="0"/>
        <w:adjustRightInd/>
        <w:snapToGrid/>
        <w:spacing w:line="460" w:lineRule="exact"/>
        <w:ind w:firstLine="482" w:firstLineChars="200"/>
        <w:jc w:val="left"/>
        <w:rPr>
          <w:rFonts w:hint="eastAsia" w:ascii="宋体" w:hAnsi="宋体" w:eastAsia="宋体" w:cs="宋体"/>
          <w:b/>
          <w:bCs/>
          <w:color w:val="auto"/>
          <w:sz w:val="24"/>
          <w:szCs w:val="24"/>
          <w:highlight w:val="none"/>
          <w:lang w:eastAsia="zh-CN" w:bidi="ar-SA"/>
        </w:rPr>
      </w:pPr>
      <w:r>
        <w:rPr>
          <w:rFonts w:hint="eastAsia" w:ascii="宋体" w:hAnsi="宋体" w:eastAsia="宋体" w:cs="宋体"/>
          <w:b/>
          <w:bCs/>
          <w:color w:val="auto"/>
          <w:sz w:val="24"/>
          <w:szCs w:val="24"/>
          <w:highlight w:val="none"/>
          <w:lang w:eastAsia="zh-CN" w:bidi="ar-SA"/>
        </w:rPr>
        <w:t>（</w:t>
      </w:r>
      <w:r>
        <w:rPr>
          <w:rFonts w:hint="eastAsia" w:ascii="宋体" w:hAnsi="宋体" w:eastAsia="宋体" w:cs="宋体"/>
          <w:b/>
          <w:bCs/>
          <w:color w:val="auto"/>
          <w:sz w:val="24"/>
          <w:szCs w:val="24"/>
          <w:highlight w:val="none"/>
          <w:lang w:val="en-US" w:eastAsia="zh-CN" w:bidi="ar-SA"/>
        </w:rPr>
        <w:t>二</w:t>
      </w:r>
      <w:r>
        <w:rPr>
          <w:rFonts w:hint="eastAsia" w:ascii="宋体" w:hAnsi="宋体" w:eastAsia="宋体" w:cs="宋体"/>
          <w:b/>
          <w:bCs/>
          <w:color w:val="auto"/>
          <w:sz w:val="24"/>
          <w:szCs w:val="24"/>
          <w:highlight w:val="none"/>
          <w:lang w:eastAsia="zh-CN" w:bidi="ar-SA"/>
        </w:rPr>
        <w:t>）</w:t>
      </w:r>
      <w:r>
        <w:rPr>
          <w:rFonts w:hint="eastAsia" w:ascii="宋体" w:hAnsi="宋体" w:eastAsia="宋体" w:cs="宋体"/>
          <w:b/>
          <w:bCs/>
          <w:color w:val="auto"/>
          <w:sz w:val="24"/>
          <w:szCs w:val="24"/>
          <w:highlight w:val="none"/>
          <w:lang w:val="en-US" w:eastAsia="zh-CN" w:bidi="ar-SA"/>
        </w:rPr>
        <w:t>合同履约期限</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color w:val="auto"/>
          <w:sz w:val="24"/>
          <w:szCs w:val="24"/>
          <w:highlight w:val="none"/>
          <w:lang w:val="en-US" w:eastAsia="zh-CN"/>
        </w:rPr>
        <w:t>2年</w:t>
      </w:r>
      <w:r>
        <w:rPr>
          <w:rFonts w:hint="eastAsia" w:ascii="宋体" w:hAnsi="宋体" w:eastAsia="宋体" w:cs="宋体"/>
          <w:b/>
          <w:bCs/>
          <w:color w:val="auto"/>
          <w:sz w:val="24"/>
          <w:szCs w:val="24"/>
          <w:highlight w:val="none"/>
          <w:lang w:eastAsia="zh-CN"/>
        </w:rPr>
        <w:t>。</w:t>
      </w:r>
      <w:bookmarkStart w:id="2" w:name="_GoBack"/>
      <w:bookmarkEnd w:id="2"/>
    </w:p>
    <w:p w14:paraId="1560C3F6">
      <w:pPr>
        <w:pStyle w:val="7"/>
        <w:keepNext w:val="0"/>
        <w:keepLines w:val="0"/>
        <w:pageBreakBefore w:val="0"/>
        <w:kinsoku/>
        <w:wordWrap/>
        <w:overflowPunct/>
        <w:topLinePunct w:val="0"/>
        <w:autoSpaceDE/>
        <w:autoSpaceDN/>
        <w:bidi w:val="0"/>
        <w:adjustRightInd/>
        <w:snapToGrid/>
        <w:spacing w:line="460" w:lineRule="exact"/>
        <w:ind w:firstLine="482" w:firstLineChars="200"/>
        <w:jc w:val="left"/>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eastAsia="zh-CN" w:bidi="ar-SA"/>
        </w:rPr>
        <w:t>（</w:t>
      </w:r>
      <w:r>
        <w:rPr>
          <w:rFonts w:hint="eastAsia" w:ascii="宋体" w:hAnsi="宋体" w:eastAsia="宋体" w:cs="宋体"/>
          <w:b/>
          <w:bCs/>
          <w:color w:val="auto"/>
          <w:sz w:val="24"/>
          <w:szCs w:val="24"/>
          <w:highlight w:val="none"/>
          <w:lang w:val="en-US" w:eastAsia="zh-CN" w:bidi="ar-SA"/>
        </w:rPr>
        <w:t>三</w:t>
      </w:r>
      <w:r>
        <w:rPr>
          <w:rFonts w:hint="eastAsia" w:ascii="宋体" w:hAnsi="宋体" w:eastAsia="宋体" w:cs="宋体"/>
          <w:b/>
          <w:bCs/>
          <w:color w:val="auto"/>
          <w:sz w:val="24"/>
          <w:szCs w:val="24"/>
          <w:highlight w:val="none"/>
          <w:lang w:eastAsia="zh-CN" w:bidi="ar-SA"/>
        </w:rPr>
        <w:t>）</w:t>
      </w:r>
      <w:r>
        <w:rPr>
          <w:rFonts w:hint="eastAsia" w:ascii="宋体" w:hAnsi="宋体" w:eastAsia="宋体" w:cs="宋体"/>
          <w:b/>
          <w:bCs/>
          <w:color w:val="auto"/>
          <w:sz w:val="24"/>
          <w:szCs w:val="24"/>
          <w:highlight w:val="none"/>
          <w:lang w:val="en-US" w:eastAsia="zh-CN" w:bidi="ar-SA"/>
        </w:rPr>
        <w:t>合同支付约定</w:t>
      </w:r>
      <w:r>
        <w:rPr>
          <w:rFonts w:hint="eastAsia" w:ascii="宋体" w:hAnsi="宋体" w:eastAsia="宋体" w:cs="宋体"/>
          <w:b/>
          <w:bCs/>
          <w:color w:val="auto"/>
          <w:kern w:val="0"/>
          <w:sz w:val="24"/>
          <w:szCs w:val="24"/>
          <w:highlight w:val="none"/>
          <w:lang w:val="en-US" w:eastAsia="zh-CN" w:bidi="ar-SA"/>
        </w:rPr>
        <w:t>：</w:t>
      </w:r>
      <w:r>
        <w:rPr>
          <w:rFonts w:hint="eastAsia" w:ascii="宋体" w:hAnsi="宋体" w:eastAsia="宋体" w:cs="宋体"/>
          <w:b/>
          <w:bCs/>
          <w:color w:val="auto"/>
          <w:sz w:val="24"/>
          <w:szCs w:val="24"/>
          <w:highlight w:val="none"/>
          <w:lang w:val="en-US" w:eastAsia="zh-CN"/>
        </w:rPr>
        <w:t>双方协商确定</w:t>
      </w:r>
      <w:r>
        <w:rPr>
          <w:rFonts w:hint="eastAsia" w:ascii="宋体" w:hAnsi="宋体" w:eastAsia="宋体" w:cs="宋体"/>
          <w:b/>
          <w:bCs/>
          <w:color w:val="auto"/>
          <w:sz w:val="24"/>
          <w:szCs w:val="24"/>
          <w:highlight w:val="none"/>
          <w:lang w:eastAsia="zh-CN"/>
        </w:rPr>
        <w:t>。</w:t>
      </w:r>
    </w:p>
    <w:p w14:paraId="7B052B31">
      <w:pPr>
        <w:pStyle w:val="7"/>
        <w:keepNext w:val="0"/>
        <w:keepLines w:val="0"/>
        <w:pageBreakBefore w:val="0"/>
        <w:kinsoku/>
        <w:wordWrap/>
        <w:overflowPunct/>
        <w:topLinePunct w:val="0"/>
        <w:autoSpaceDE/>
        <w:autoSpaceDN/>
        <w:bidi w:val="0"/>
        <w:adjustRightInd/>
        <w:snapToGrid/>
        <w:spacing w:line="460" w:lineRule="exact"/>
        <w:ind w:firstLine="482"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（四）付款方法和条件</w:t>
      </w:r>
    </w:p>
    <w:p w14:paraId="13DC4937">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b w:val="0"/>
          <w:bCs w:val="0"/>
          <w:color w:val="auto"/>
          <w:kern w:val="0"/>
          <w:sz w:val="24"/>
          <w:szCs w:val="24"/>
          <w:highlight w:val="none"/>
          <w:u w:val="none"/>
          <w:lang w:val="en-US" w:eastAsia="zh-CN" w:bidi="ar"/>
        </w:rPr>
        <w:t>1.结算方式：货款按实结算且由双方协商决定。</w:t>
      </w:r>
    </w:p>
    <w:p w14:paraId="17BA91DE">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b w:val="0"/>
          <w:bCs w:val="0"/>
          <w:color w:val="auto"/>
          <w:kern w:val="0"/>
          <w:sz w:val="24"/>
          <w:szCs w:val="24"/>
          <w:highlight w:val="none"/>
          <w:u w:val="none"/>
          <w:lang w:val="en-US" w:eastAsia="zh-CN" w:bidi="ar"/>
        </w:rPr>
        <w:t>2.</w:t>
      </w:r>
      <w:r>
        <w:rPr>
          <w:rFonts w:hint="eastAsia" w:ascii="宋体" w:hAnsi="宋体" w:cs="宋体"/>
          <w:color w:val="auto"/>
          <w:kern w:val="0"/>
          <w:sz w:val="24"/>
          <w:highlight w:val="none"/>
          <w:u w:val="none"/>
          <w:lang w:bidi="ar"/>
        </w:rPr>
        <w:t>成交价格包含成本、运输、包装、培训、配送、伴随服务、税费及其他附加费用</w:t>
      </w:r>
      <w:r>
        <w:rPr>
          <w:rFonts w:hint="eastAsia" w:ascii="宋体" w:hAnsi="宋体" w:eastAsia="宋体" w:cs="宋体"/>
          <w:b w:val="0"/>
          <w:bCs w:val="0"/>
          <w:color w:val="auto"/>
          <w:kern w:val="0"/>
          <w:sz w:val="24"/>
          <w:szCs w:val="24"/>
          <w:highlight w:val="none"/>
          <w:u w:val="none"/>
          <w:lang w:val="en-US" w:eastAsia="zh-CN" w:bidi="ar"/>
        </w:rPr>
        <w:t>。</w:t>
      </w:r>
    </w:p>
    <w:p w14:paraId="6742C472">
      <w:pPr>
        <w:pStyle w:val="7"/>
        <w:spacing w:line="460" w:lineRule="exact"/>
        <w:ind w:firstLine="482" w:firstLineChars="200"/>
        <w:rPr>
          <w:rFonts w:hint="default" w:ascii="宋体" w:hAnsi="宋体" w:eastAsia="宋体" w:cs="宋体"/>
          <w:b/>
          <w:bCs/>
          <w:color w:val="auto"/>
          <w:sz w:val="24"/>
          <w:szCs w:val="24"/>
          <w:highlight w:val="none"/>
          <w:lang w:val="en-US" w:eastAsia="zh-CN" w:bidi="ar"/>
        </w:rPr>
      </w:pPr>
      <w:r>
        <w:rPr>
          <w:rFonts w:hint="eastAsia" w:ascii="宋体" w:hAnsi="宋体" w:eastAsia="宋体" w:cs="宋体"/>
          <w:b/>
          <w:bCs/>
          <w:color w:val="auto"/>
          <w:kern w:val="0"/>
          <w:sz w:val="24"/>
          <w:szCs w:val="24"/>
          <w:highlight w:val="none"/>
          <w:u w:val="none"/>
          <w:lang w:val="en-US" w:eastAsia="zh-CN" w:bidi="ar"/>
        </w:rPr>
        <w:t>（五）医用耗材质量保证</w:t>
      </w:r>
    </w:p>
    <w:p w14:paraId="3FA96A1C">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中选供应商须提供原厂生产的未曾使用过的、全新的合格的货品（含配套配件等），表面无划伤、无破损痕迹，且权属清楚，不得侵害他人的合法权利。</w:t>
      </w:r>
    </w:p>
    <w:p w14:paraId="17B0E5C8">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中选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29F3313C">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中选供应商提供货品的设计技术专利、外形专利等均应符合我国有关法律法规及行业标准，凡因以上问题与第三方发生的任何纠纷，由中选供应商承担全部责任，中选供应商还应负责赔偿采购人由此而遭受的全部损失。</w:t>
      </w:r>
    </w:p>
    <w:p w14:paraId="0119E429">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中选供应商保证其提供货品的安全可靠性。在正常使用下不应对使用者造成任何人身伤害，如因产品质量或标示不明确而对使用者造成损失的，由中选供应商承担相应责任。</w:t>
      </w:r>
    </w:p>
    <w:p w14:paraId="483FDE51">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中选供应商应保证所供耗材原产地真实，医用耗材是全新的、未使用过的，质量符合国家标准（在无国家标准时，符合行业标准），不得以假充真，以次充好，确保临床医疗安全。如出现质量问题，中选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1689AEC">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中选供应商保证所供耗材有效期不低于1年，自通过最终验收之日起，确保采购人在使用耗材的过程中安全、有效。</w:t>
      </w:r>
    </w:p>
    <w:p w14:paraId="4546E30A">
      <w:pPr>
        <w:pStyle w:val="7"/>
        <w:keepNext w:val="0"/>
        <w:keepLines w:val="0"/>
        <w:pageBreakBefore w:val="0"/>
        <w:kinsoku/>
        <w:wordWrap/>
        <w:overflowPunct/>
        <w:topLinePunct w:val="0"/>
        <w:autoSpaceDE/>
        <w:autoSpaceDN/>
        <w:bidi w:val="0"/>
        <w:adjustRightInd/>
        <w:snapToGrid/>
        <w:spacing w:line="460" w:lineRule="exact"/>
        <w:ind w:firstLine="482" w:firstLineChars="200"/>
        <w:jc w:val="lef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（六）验收</w:t>
      </w:r>
    </w:p>
    <w:p w14:paraId="600225C5">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按照《财政部关于进一步加强政府采购需求和履约验收管理的指导意见》（财库〔2016〕205号）的要求以及采购人竞选文件的质量要求和技术指标、中选供应商的响应文件及承诺（若有）、国家（行业）标准、本合同约定标准进行验收；</w:t>
      </w:r>
    </w:p>
    <w:p w14:paraId="795A2863">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验收时如发现所交付的货物有短装、次品、损坏或其他不符合验收标准的，采购人应做出详尽的现场记录，此现场记录或备忘录可用作补充、缺失和更换损坏部件的有效证据，由此产生的时间延误与有关费用由中选供应商承担，验收期限相应顺延；</w:t>
      </w:r>
    </w:p>
    <w:p w14:paraId="3E129AD9">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若所提供货物不符合验收标准，中选供应商经过2次维修或2次调换后仍不能达到验收质量标准，则视为验收不合格，采购人有权全部（或部分）退货或解除合同。接到采购人退货通知，中选供应商除应及时运走采购人退还的货物外（若涉及费用或损失均由中选供应商自行承担），还应向采购人承担相应的违约责任。</w:t>
      </w:r>
    </w:p>
    <w:p w14:paraId="76F2887A">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其他未尽事宜严格按照《财政部关于进一步加强政府采购需求和履约验收管理的指导意见》（财库〔2016〕205号）的要求进行。</w:t>
      </w:r>
    </w:p>
    <w:p w14:paraId="12D50CBA">
      <w:pPr>
        <w:pStyle w:val="7"/>
        <w:keepNext w:val="0"/>
        <w:keepLines w:val="0"/>
        <w:pageBreakBefore w:val="0"/>
        <w:kinsoku/>
        <w:wordWrap/>
        <w:overflowPunct/>
        <w:topLinePunct w:val="0"/>
        <w:autoSpaceDE/>
        <w:autoSpaceDN/>
        <w:bidi w:val="0"/>
        <w:adjustRightInd/>
        <w:snapToGrid/>
        <w:spacing w:line="460" w:lineRule="exact"/>
        <w:ind w:firstLine="482"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（七）售后服务</w:t>
      </w:r>
    </w:p>
    <w:p w14:paraId="6F93EA58">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要求中选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5AF479D3">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要求中选供应商指派专人负责与采购人联系售后服务事宜；在响应文件中列明售后联系人及联系电话。</w:t>
      </w:r>
    </w:p>
    <w:p w14:paraId="6DCB04F3">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要求中选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6B017282">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耗材临近失效期，采购人提前三个月向中选供应商提出更换，中选供应商须在耗材失效前一个月更换完毕，不得以任何理由进行推诿。</w:t>
      </w:r>
    </w:p>
    <w:p w14:paraId="639D6DCC">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中选供应商必须随货提供其具备医疗器械经营企业的有关合法有效的手续（包括但不限于）：</w:t>
      </w:r>
    </w:p>
    <w:p w14:paraId="505A8968">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1)产品所涉及逐级授权经销商的医疗器械生产（经营）许可证或生产（经营）企业备案表；</w:t>
      </w:r>
    </w:p>
    <w:p w14:paraId="48F14BC0">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2)医疗器械产品注册证或备案凭证；</w:t>
      </w:r>
    </w:p>
    <w:p w14:paraId="3B2371B6">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3)医疗器械生产企业许可证；</w:t>
      </w:r>
    </w:p>
    <w:p w14:paraId="7C0C46AF">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4)经销商获得的委托授权书（逐级）；</w:t>
      </w:r>
    </w:p>
    <w:p w14:paraId="3BA5A936">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5)产品所涉及逐级授权经销商的企业法人营业执照。</w:t>
      </w:r>
    </w:p>
    <w:p w14:paraId="7004FDE1">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6)采购人要求提供的相关资料。</w:t>
      </w:r>
    </w:p>
    <w:p w14:paraId="32BAF99C">
      <w:pPr>
        <w:pStyle w:val="7"/>
        <w:keepNext w:val="0"/>
        <w:keepLines w:val="0"/>
        <w:pageBreakBefore w:val="0"/>
        <w:kinsoku/>
        <w:wordWrap/>
        <w:overflowPunct/>
        <w:topLinePunct w:val="0"/>
        <w:autoSpaceDE/>
        <w:autoSpaceDN/>
        <w:bidi w:val="0"/>
        <w:adjustRightInd/>
        <w:snapToGrid/>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供应商或厂家原因无法按上述要求执行的，则采购人可以解除与中选供应商在成交合同中对该产品的采购相关约定。</w:t>
      </w:r>
    </w:p>
    <w:p w14:paraId="714D0CBC">
      <w:pPr>
        <w:pStyle w:val="7"/>
        <w:keepNext w:val="0"/>
        <w:keepLines w:val="0"/>
        <w:pageBreakBefore w:val="0"/>
        <w:kinsoku/>
        <w:wordWrap/>
        <w:overflowPunct/>
        <w:topLinePunct w:val="0"/>
        <w:autoSpaceDE/>
        <w:autoSpaceDN/>
        <w:bidi w:val="0"/>
        <w:adjustRightInd/>
        <w:snapToGrid/>
        <w:spacing w:line="460" w:lineRule="exact"/>
        <w:ind w:firstLine="482"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（八）包装和运输 </w:t>
      </w:r>
    </w:p>
    <w:p w14:paraId="3A97E4FC">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cs="宋体"/>
          <w:color w:val="auto"/>
          <w:kern w:val="0"/>
          <w:sz w:val="24"/>
          <w:highlight w:val="none"/>
          <w:u w:val="none"/>
          <w:lang w:bidi="ar"/>
        </w:rPr>
      </w:pPr>
      <w:r>
        <w:rPr>
          <w:rFonts w:hint="eastAsia" w:ascii="宋体" w:hAnsi="宋体" w:cs="宋体"/>
          <w:color w:val="auto"/>
          <w:kern w:val="0"/>
          <w:sz w:val="24"/>
          <w:highlight w:val="none"/>
          <w:u w:val="none"/>
          <w:lang w:eastAsia="zh-CN" w:bidi="ar"/>
        </w:rPr>
        <w:t>1</w:t>
      </w:r>
      <w:r>
        <w:rPr>
          <w:rFonts w:hint="eastAsia" w:ascii="宋体" w:hAnsi="宋体" w:cs="宋体"/>
          <w:color w:val="auto"/>
          <w:kern w:val="0"/>
          <w:sz w:val="24"/>
          <w:highlight w:val="none"/>
          <w:u w:val="none"/>
          <w:lang w:val="en-US" w:eastAsia="zh-CN" w:bidi="ar"/>
        </w:rPr>
        <w:t>.中选供应商</w:t>
      </w:r>
      <w:r>
        <w:rPr>
          <w:rFonts w:hint="eastAsia" w:ascii="宋体" w:hAnsi="宋体" w:cs="宋体"/>
          <w:color w:val="auto"/>
          <w:kern w:val="0"/>
          <w:sz w:val="24"/>
          <w:highlight w:val="none"/>
          <w:u w:val="none"/>
          <w:lang w:bidi="ar"/>
        </w:rPr>
        <w:t xml:space="preserve">须严格按照《商品包装政府采购需求标准(试行)》、《快递包装政府采购需求标准(试行)》(财办库〔2020〕123 号)的要求进行产品及相关快递服务的包装。 </w:t>
      </w:r>
    </w:p>
    <w:p w14:paraId="4D0866AB">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cs="宋体"/>
          <w:color w:val="auto"/>
          <w:kern w:val="0"/>
          <w:sz w:val="24"/>
          <w:highlight w:val="none"/>
          <w:u w:val="none"/>
          <w:lang w:bidi="ar"/>
        </w:rPr>
      </w:pPr>
      <w:r>
        <w:rPr>
          <w:rFonts w:hint="eastAsia" w:ascii="宋体" w:hAnsi="宋体" w:cs="宋体"/>
          <w:color w:val="auto"/>
          <w:kern w:val="0"/>
          <w:sz w:val="24"/>
          <w:highlight w:val="none"/>
          <w:u w:val="none"/>
          <w:lang w:eastAsia="zh-CN" w:bidi="ar"/>
        </w:rPr>
        <w:t>2</w:t>
      </w:r>
      <w:r>
        <w:rPr>
          <w:rFonts w:hint="eastAsia" w:ascii="宋体" w:hAnsi="宋体" w:cs="宋体"/>
          <w:color w:val="auto"/>
          <w:kern w:val="0"/>
          <w:sz w:val="24"/>
          <w:highlight w:val="none"/>
          <w:u w:val="none"/>
          <w:lang w:val="en-US" w:eastAsia="zh-CN" w:bidi="ar"/>
        </w:rPr>
        <w:t>.</w:t>
      </w:r>
      <w:r>
        <w:rPr>
          <w:rFonts w:hint="eastAsia" w:ascii="宋体" w:hAnsi="宋体" w:cs="宋体"/>
          <w:color w:val="auto"/>
          <w:kern w:val="0"/>
          <w:sz w:val="24"/>
          <w:highlight w:val="none"/>
          <w:u w:val="none"/>
          <w:lang w:eastAsia="zh-CN" w:bidi="ar"/>
        </w:rPr>
        <w:t>竞选人</w:t>
      </w:r>
      <w:r>
        <w:rPr>
          <w:rFonts w:hint="eastAsia" w:ascii="宋体" w:hAnsi="宋体" w:cs="宋体"/>
          <w:color w:val="auto"/>
          <w:kern w:val="0"/>
          <w:sz w:val="24"/>
          <w:highlight w:val="none"/>
          <w:u w:val="none"/>
          <w:lang w:bidi="ar"/>
        </w:rPr>
        <w:t xml:space="preserve">应当按照约定的方式交付标的物。对于包装方式没有约定或者约定不明确的，应当按照通用的方式包装；没有通用方式的，应当采取足以保护标的物且有利于节约资源，保护生态环境的包装方式。 </w:t>
      </w:r>
    </w:p>
    <w:p w14:paraId="3CE4223F">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cs="宋体"/>
          <w:color w:val="auto"/>
          <w:kern w:val="0"/>
          <w:sz w:val="24"/>
          <w:highlight w:val="none"/>
          <w:u w:val="none"/>
          <w:lang w:bidi="ar"/>
        </w:rPr>
      </w:pPr>
      <w:r>
        <w:rPr>
          <w:rFonts w:hint="eastAsia" w:ascii="宋体" w:hAnsi="宋体" w:cs="宋体"/>
          <w:color w:val="auto"/>
          <w:kern w:val="0"/>
          <w:sz w:val="24"/>
          <w:highlight w:val="none"/>
          <w:u w:val="none"/>
          <w:lang w:eastAsia="zh-CN" w:bidi="ar"/>
        </w:rPr>
        <w:t>3</w:t>
      </w:r>
      <w:r>
        <w:rPr>
          <w:rFonts w:hint="eastAsia" w:ascii="宋体" w:hAnsi="宋体" w:cs="宋体"/>
          <w:color w:val="auto"/>
          <w:kern w:val="0"/>
          <w:sz w:val="24"/>
          <w:highlight w:val="none"/>
          <w:u w:val="none"/>
          <w:lang w:val="en-US" w:eastAsia="zh-CN" w:bidi="ar"/>
        </w:rPr>
        <w:t>.</w:t>
      </w:r>
      <w:r>
        <w:rPr>
          <w:rFonts w:hint="eastAsia" w:ascii="宋体" w:hAnsi="宋体" w:cs="宋体"/>
          <w:color w:val="auto"/>
          <w:kern w:val="0"/>
          <w:sz w:val="24"/>
          <w:highlight w:val="none"/>
          <w:u w:val="none"/>
          <w:lang w:bidi="ar"/>
        </w:rPr>
        <w:t>本次采购的标的物需要运输，</w:t>
      </w:r>
      <w:r>
        <w:rPr>
          <w:rFonts w:hint="eastAsia" w:ascii="宋体" w:hAnsi="宋体" w:cs="宋体"/>
          <w:color w:val="auto"/>
          <w:kern w:val="0"/>
          <w:sz w:val="24"/>
          <w:highlight w:val="none"/>
          <w:u w:val="none"/>
          <w:lang w:eastAsia="zh-CN" w:bidi="ar"/>
        </w:rPr>
        <w:t>竞选人</w:t>
      </w:r>
      <w:r>
        <w:rPr>
          <w:rFonts w:hint="eastAsia" w:ascii="宋体" w:hAnsi="宋体" w:cs="宋体"/>
          <w:color w:val="auto"/>
          <w:kern w:val="0"/>
          <w:sz w:val="24"/>
          <w:highlight w:val="none"/>
          <w:u w:val="none"/>
          <w:lang w:bidi="ar"/>
        </w:rPr>
        <w:t>在合同约定的时间内将标的物运输至合同约定地点。</w:t>
      </w:r>
    </w:p>
    <w:p w14:paraId="76048E11">
      <w:pPr>
        <w:pStyle w:val="7"/>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jc w:val="left"/>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（九）履约验收方案</w:t>
      </w:r>
    </w:p>
    <w:p w14:paraId="47CC2682">
      <w:pPr>
        <w:pageBreakBefore w:val="0"/>
        <w:widowControl/>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highlight w:val="none"/>
          <w:u w:val="none"/>
          <w:shd w:val="clear"/>
          <w:lang w:val="en-US" w:eastAsia="zh-CN" w:bidi="ar"/>
        </w:rPr>
      </w:pPr>
      <w:r>
        <w:rPr>
          <w:rFonts w:hint="eastAsia" w:ascii="宋体" w:hAnsi="宋体" w:eastAsia="宋体" w:cs="宋体"/>
          <w:color w:val="auto"/>
          <w:kern w:val="0"/>
          <w:sz w:val="24"/>
          <w:highlight w:val="none"/>
          <w:u w:val="none"/>
          <w:shd w:val="clear"/>
          <w:lang w:val="en-US" w:eastAsia="zh-CN" w:bidi="ar"/>
        </w:rPr>
        <w:t>1.</w:t>
      </w:r>
      <w:r>
        <w:rPr>
          <w:rFonts w:hint="eastAsia" w:ascii="宋体" w:hAnsi="宋体" w:eastAsia="宋体" w:cs="宋体"/>
          <w:color w:val="auto"/>
          <w:kern w:val="0"/>
          <w:sz w:val="24"/>
          <w:highlight w:val="none"/>
          <w:u w:val="none"/>
          <w:shd w:val="clear"/>
          <w:lang w:bidi="ar"/>
        </w:rPr>
        <w:t>履约验收程序</w:t>
      </w:r>
      <w:r>
        <w:rPr>
          <w:rFonts w:hint="eastAsia" w:ascii="宋体" w:hAnsi="宋体" w:eastAsia="宋体" w:cs="宋体"/>
          <w:color w:val="auto"/>
          <w:kern w:val="0"/>
          <w:sz w:val="24"/>
          <w:highlight w:val="none"/>
          <w:u w:val="none"/>
          <w:shd w:val="clear"/>
          <w:lang w:eastAsia="zh-CN" w:bidi="ar"/>
        </w:rPr>
        <w:t>：</w:t>
      </w:r>
      <w:r>
        <w:rPr>
          <w:rFonts w:hint="eastAsia" w:ascii="宋体" w:hAnsi="宋体" w:eastAsia="宋体" w:cs="宋体"/>
          <w:color w:val="auto"/>
          <w:kern w:val="0"/>
          <w:sz w:val="24"/>
          <w:highlight w:val="none"/>
          <w:u w:val="none"/>
          <w:shd w:val="clear"/>
          <w:lang w:val="en-US" w:eastAsia="zh-CN" w:bidi="ar"/>
        </w:rPr>
        <w:t>分批次验收。</w:t>
      </w:r>
    </w:p>
    <w:p w14:paraId="2172D5F4">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highlight w:val="none"/>
          <w:u w:val="none"/>
          <w:shd w:val="clear"/>
          <w:lang w:val="en-US" w:eastAsia="zh-CN" w:bidi="ar"/>
        </w:rPr>
      </w:pPr>
      <w:r>
        <w:rPr>
          <w:rFonts w:hint="eastAsia" w:ascii="宋体" w:hAnsi="宋体" w:eastAsia="宋体" w:cs="宋体"/>
          <w:color w:val="auto"/>
          <w:kern w:val="0"/>
          <w:sz w:val="24"/>
          <w:highlight w:val="none"/>
          <w:u w:val="none"/>
          <w:shd w:val="clear"/>
          <w:lang w:val="en-US" w:eastAsia="zh-CN" w:bidi="ar"/>
        </w:rPr>
        <w:t>2.</w:t>
      </w:r>
      <w:r>
        <w:rPr>
          <w:rFonts w:hint="eastAsia" w:ascii="宋体" w:hAnsi="宋体" w:eastAsia="宋体" w:cs="宋体"/>
          <w:color w:val="auto"/>
          <w:kern w:val="0"/>
          <w:sz w:val="24"/>
          <w:highlight w:val="none"/>
          <w:u w:val="none"/>
          <w:shd w:val="clear"/>
          <w:lang w:bidi="ar"/>
        </w:rPr>
        <w:t>履约验收时间：</w:t>
      </w:r>
      <w:r>
        <w:rPr>
          <w:rFonts w:hint="eastAsia" w:ascii="宋体" w:hAnsi="宋体" w:cs="宋体"/>
          <w:color w:val="auto"/>
          <w:kern w:val="0"/>
          <w:sz w:val="24"/>
          <w:highlight w:val="none"/>
          <w:u w:val="none"/>
          <w:lang w:bidi="ar"/>
        </w:rPr>
        <w:t>合同期限内，根据采购人要求分批次送货，完成送货、验收入库视为验收完成。</w:t>
      </w:r>
    </w:p>
    <w:p w14:paraId="454DDB69">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highlight w:val="none"/>
          <w:u w:val="none"/>
          <w:shd w:val="clear"/>
          <w:lang w:val="en-US" w:eastAsia="zh-CN" w:bidi="ar"/>
        </w:rPr>
      </w:pPr>
      <w:r>
        <w:rPr>
          <w:rFonts w:hint="eastAsia" w:ascii="宋体" w:hAnsi="宋体" w:eastAsia="宋体" w:cs="宋体"/>
          <w:color w:val="auto"/>
          <w:kern w:val="0"/>
          <w:sz w:val="24"/>
          <w:highlight w:val="none"/>
          <w:u w:val="none"/>
          <w:shd w:val="clear"/>
          <w:lang w:val="en-US" w:eastAsia="zh-CN" w:bidi="ar"/>
        </w:rPr>
        <w:t>3.</w:t>
      </w:r>
      <w:r>
        <w:rPr>
          <w:rFonts w:hint="eastAsia" w:ascii="宋体" w:hAnsi="宋体" w:eastAsia="宋体" w:cs="宋体"/>
          <w:color w:val="auto"/>
          <w:kern w:val="0"/>
          <w:sz w:val="24"/>
          <w:highlight w:val="none"/>
          <w:u w:val="none"/>
          <w:shd w:val="clear"/>
          <w:lang w:bidi="ar"/>
        </w:rPr>
        <w:t>验收组织的其他事项：</w:t>
      </w:r>
      <w:r>
        <w:rPr>
          <w:rFonts w:hint="eastAsia" w:ascii="宋体" w:hAnsi="宋体" w:eastAsia="宋体" w:cs="宋体"/>
          <w:color w:val="auto"/>
          <w:kern w:val="0"/>
          <w:sz w:val="24"/>
          <w:szCs w:val="24"/>
          <w:highlight w:val="none"/>
          <w:u w:val="none"/>
          <w:lang w:val="en-US" w:eastAsia="zh-CN" w:bidi="ar"/>
        </w:rPr>
        <w:t>无。</w:t>
      </w:r>
    </w:p>
    <w:p w14:paraId="06E7F98C">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highlight w:val="none"/>
          <w:u w:val="none"/>
          <w:shd w:val="clear"/>
          <w:lang w:val="en-US" w:eastAsia="zh-CN" w:bidi="ar"/>
        </w:rPr>
      </w:pPr>
      <w:r>
        <w:rPr>
          <w:rFonts w:hint="eastAsia" w:ascii="宋体" w:hAnsi="宋体" w:eastAsia="宋体" w:cs="宋体"/>
          <w:color w:val="auto"/>
          <w:kern w:val="0"/>
          <w:sz w:val="24"/>
          <w:highlight w:val="none"/>
          <w:u w:val="none"/>
          <w:shd w:val="clear"/>
          <w:lang w:val="en-US" w:eastAsia="zh-CN" w:bidi="ar"/>
        </w:rPr>
        <w:t>4.</w:t>
      </w:r>
      <w:r>
        <w:rPr>
          <w:rFonts w:hint="eastAsia" w:ascii="宋体" w:hAnsi="宋体" w:eastAsia="宋体" w:cs="宋体"/>
          <w:color w:val="auto"/>
          <w:kern w:val="0"/>
          <w:sz w:val="24"/>
          <w:highlight w:val="none"/>
          <w:u w:val="none"/>
          <w:shd w:val="clear"/>
          <w:lang w:bidi="ar"/>
        </w:rPr>
        <w:t>技术履约验收内容：</w:t>
      </w:r>
      <w:r>
        <w:rPr>
          <w:rFonts w:hint="eastAsia" w:ascii="宋体" w:hAnsi="宋体" w:eastAsia="宋体" w:cs="宋体"/>
          <w:color w:val="auto"/>
          <w:kern w:val="0"/>
          <w:sz w:val="24"/>
          <w:highlight w:val="none"/>
          <w:u w:val="none"/>
          <w:shd w:val="clear"/>
          <w:lang w:val="en-US" w:eastAsia="zh-CN" w:bidi="ar"/>
        </w:rPr>
        <w:t>采购人按照本项目技术要求进行验收。</w:t>
      </w:r>
    </w:p>
    <w:p w14:paraId="2BFD0807">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highlight w:val="none"/>
          <w:u w:val="none"/>
          <w:shd w:val="clear"/>
          <w:lang w:val="en-US" w:eastAsia="zh-CN" w:bidi="ar"/>
        </w:rPr>
      </w:pPr>
      <w:r>
        <w:rPr>
          <w:rFonts w:hint="eastAsia" w:ascii="宋体" w:hAnsi="宋体" w:eastAsia="宋体" w:cs="宋体"/>
          <w:color w:val="auto"/>
          <w:kern w:val="0"/>
          <w:sz w:val="24"/>
          <w:highlight w:val="none"/>
          <w:u w:val="none"/>
          <w:shd w:val="clear"/>
          <w:lang w:val="en-US" w:eastAsia="zh-CN" w:bidi="ar"/>
        </w:rPr>
        <w:t>5.</w:t>
      </w:r>
      <w:r>
        <w:rPr>
          <w:rFonts w:hint="eastAsia" w:ascii="宋体" w:hAnsi="宋体" w:eastAsia="宋体" w:cs="宋体"/>
          <w:color w:val="auto"/>
          <w:kern w:val="0"/>
          <w:sz w:val="24"/>
          <w:highlight w:val="none"/>
          <w:u w:val="none"/>
          <w:shd w:val="clear"/>
          <w:lang w:bidi="ar"/>
        </w:rPr>
        <w:t>商务履约验收内容：</w:t>
      </w:r>
      <w:r>
        <w:rPr>
          <w:rFonts w:hint="eastAsia" w:ascii="宋体" w:hAnsi="宋体" w:eastAsia="宋体" w:cs="宋体"/>
          <w:color w:val="auto"/>
          <w:kern w:val="0"/>
          <w:sz w:val="24"/>
          <w:highlight w:val="none"/>
          <w:u w:val="none"/>
          <w:shd w:val="clear"/>
          <w:lang w:val="en-US" w:eastAsia="zh-CN" w:bidi="ar"/>
        </w:rPr>
        <w:t>采购人按照本项目商务要求进行验收。</w:t>
      </w:r>
    </w:p>
    <w:p w14:paraId="17B64D49">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highlight w:val="none"/>
          <w:u w:val="none"/>
          <w:shd w:val="clear"/>
          <w:lang w:val="en-US" w:eastAsia="zh-CN" w:bidi="ar"/>
        </w:rPr>
      </w:pPr>
      <w:r>
        <w:rPr>
          <w:rFonts w:hint="eastAsia" w:ascii="宋体" w:hAnsi="宋体" w:eastAsia="宋体" w:cs="宋体"/>
          <w:color w:val="auto"/>
          <w:kern w:val="0"/>
          <w:sz w:val="24"/>
          <w:highlight w:val="none"/>
          <w:u w:val="none"/>
          <w:shd w:val="clear"/>
          <w:lang w:val="en-US" w:eastAsia="zh-CN" w:bidi="ar"/>
        </w:rPr>
        <w:t>6.</w:t>
      </w:r>
      <w:r>
        <w:rPr>
          <w:rFonts w:hint="eastAsia" w:ascii="宋体" w:hAnsi="宋体" w:eastAsia="宋体" w:cs="宋体"/>
          <w:color w:val="auto"/>
          <w:kern w:val="0"/>
          <w:sz w:val="24"/>
          <w:highlight w:val="none"/>
          <w:u w:val="none"/>
          <w:shd w:val="clear"/>
          <w:lang w:bidi="ar"/>
        </w:rPr>
        <w:t>履约</w:t>
      </w:r>
      <w:r>
        <w:rPr>
          <w:rFonts w:hint="eastAsia" w:ascii="宋体" w:hAnsi="宋体" w:cs="宋体"/>
          <w:color w:val="auto"/>
          <w:kern w:val="0"/>
          <w:sz w:val="24"/>
          <w:highlight w:val="none"/>
          <w:u w:val="none"/>
          <w:shd w:val="clear"/>
          <w:lang w:val="en-US" w:eastAsia="zh-CN" w:bidi="ar"/>
        </w:rPr>
        <w:t>验</w:t>
      </w:r>
      <w:r>
        <w:rPr>
          <w:rFonts w:hint="eastAsia" w:ascii="宋体" w:hAnsi="宋体" w:eastAsia="宋体" w:cs="宋体"/>
          <w:color w:val="auto"/>
          <w:kern w:val="0"/>
          <w:sz w:val="24"/>
          <w:highlight w:val="none"/>
          <w:u w:val="none"/>
          <w:shd w:val="clear"/>
          <w:lang w:bidi="ar"/>
        </w:rPr>
        <w:t>收标准：</w:t>
      </w:r>
      <w:r>
        <w:rPr>
          <w:rFonts w:hint="eastAsia" w:ascii="宋体" w:hAnsi="宋体" w:eastAsia="宋体" w:cs="宋体"/>
          <w:color w:val="auto"/>
          <w:kern w:val="0"/>
          <w:sz w:val="24"/>
          <w:highlight w:val="none"/>
          <w:u w:val="none"/>
          <w:shd w:val="clear"/>
          <w:lang w:val="en-US" w:eastAsia="zh-CN" w:bidi="ar"/>
        </w:rPr>
        <w:t>采购人按照本项目合同要求进行验收。</w:t>
      </w:r>
    </w:p>
    <w:p w14:paraId="00D6E22B">
      <w:pPr>
        <w:pStyle w:val="7"/>
        <w:keepNext w:val="0"/>
        <w:keepLines w:val="0"/>
        <w:pageBreakBefore w:val="0"/>
        <w:kinsoku/>
        <w:wordWrap/>
        <w:overflowPunct/>
        <w:topLinePunct w:val="0"/>
        <w:autoSpaceDE/>
        <w:autoSpaceDN/>
        <w:bidi w:val="0"/>
        <w:adjustRightInd/>
        <w:snapToGrid/>
        <w:spacing w:line="460" w:lineRule="exact"/>
        <w:ind w:firstLine="482" w:firstLineChars="200"/>
        <w:jc w:val="left"/>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（十）</w:t>
      </w:r>
      <w:r>
        <w:rPr>
          <w:rFonts w:hint="eastAsia" w:ascii="宋体" w:hAnsi="宋体" w:eastAsia="宋体" w:cs="宋体"/>
          <w:b/>
          <w:bCs/>
          <w:color w:val="auto"/>
          <w:sz w:val="24"/>
          <w:szCs w:val="24"/>
          <w:highlight w:val="none"/>
          <w:lang w:val="en-US" w:eastAsia="zh-CN"/>
        </w:rPr>
        <w:t>违约责任与解决争议的方法</w:t>
      </w:r>
    </w:p>
    <w:p w14:paraId="3DFEAF57">
      <w:pPr>
        <w:pStyle w:val="7"/>
        <w:keepNext w:val="0"/>
        <w:keepLines w:val="0"/>
        <w:pageBreakBefore w:val="0"/>
        <w:kinsoku/>
        <w:wordWrap/>
        <w:overflowPunct/>
        <w:topLinePunct w:val="0"/>
        <w:autoSpaceDE/>
        <w:autoSpaceDN/>
        <w:bidi w:val="0"/>
        <w:adjustRightInd/>
        <w:snapToGrid/>
        <w:spacing w:line="460" w:lineRule="exact"/>
        <w:ind w:firstLine="482"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1.违约责任</w:t>
      </w:r>
    </w:p>
    <w:p w14:paraId="5DC005F9">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val="en-US" w:eastAsia="zh-CN" w:bidi="ar"/>
        </w:rPr>
        <w:t>（1）</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逾期15日内不能提供采购人所需医用耗材的，应向采购人每日支付该批次货款千分之三的违约金。</w:t>
      </w:r>
    </w:p>
    <w:p w14:paraId="444D3BD9">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val="en-US" w:eastAsia="zh-CN" w:bidi="ar"/>
        </w:rPr>
        <w:t>（2）</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逾期15日及以上不能交付以上产品的，视同不能供货，须向采购人支付该批次货款的10%的违约金，同时采购人可以单方面解除本合同。</w:t>
      </w:r>
    </w:p>
    <w:p w14:paraId="6EF68156">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shd w:val="clear" w:color="auto" w:fill="auto"/>
          <w:lang w:val="en-US" w:eastAsia="zh-CN" w:bidi="ar"/>
        </w:rPr>
      </w:pPr>
      <w:r>
        <w:rPr>
          <w:rFonts w:hint="eastAsia" w:ascii="宋体" w:hAnsi="宋体" w:eastAsia="宋体" w:cs="宋体"/>
          <w:color w:val="auto"/>
          <w:kern w:val="0"/>
          <w:sz w:val="24"/>
          <w:szCs w:val="24"/>
          <w:highlight w:val="none"/>
          <w:u w:val="none"/>
          <w:lang w:val="en-US" w:eastAsia="zh-CN" w:bidi="ar"/>
        </w:rPr>
        <w:t>（3）</w:t>
      </w:r>
      <w:r>
        <w:rPr>
          <w:rFonts w:hint="eastAsia" w:ascii="宋体" w:hAnsi="宋体" w:cs="宋体"/>
          <w:color w:val="auto"/>
          <w:sz w:val="24"/>
          <w:highlight w:val="none"/>
          <w:shd w:val="clear" w:color="auto" w:fill="auto"/>
        </w:rPr>
        <w:t>若因</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原因造成采购人被监管部门通报三次及以上的或者造成采购人违规采购，采购人有权单方面解除采购合同。同时，采购人有权要求</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支付该批货物价款20%的违约金。</w:t>
      </w:r>
    </w:p>
    <w:p w14:paraId="6BC05551">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cs="宋体"/>
          <w:color w:val="auto"/>
          <w:sz w:val="24"/>
          <w:highlight w:val="none"/>
          <w:shd w:val="clear" w:color="auto" w:fill="auto"/>
        </w:rPr>
      </w:pPr>
      <w:r>
        <w:rPr>
          <w:rFonts w:hint="eastAsia" w:ascii="宋体" w:hAnsi="宋体" w:eastAsia="宋体" w:cs="宋体"/>
          <w:color w:val="auto"/>
          <w:kern w:val="0"/>
          <w:sz w:val="24"/>
          <w:szCs w:val="24"/>
          <w:highlight w:val="none"/>
          <w:u w:val="none"/>
          <w:lang w:val="en-US" w:eastAsia="zh-CN" w:bidi="ar"/>
        </w:rPr>
        <w:t>（4）</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销售的产品若发生严重医疗不良事件或被国家法定检测机构检测为不合格产品，视为</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违约导致不能实现本合同目的，采购人有权单方面解除采购合同，并要求</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限期收回不合格产品，并要求</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需承担合同价款20%的违约金，违约金不足以弥补采购人损失的，</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还应当承补足。</w:t>
      </w:r>
    </w:p>
    <w:p w14:paraId="7BFEC5F4">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shd w:val="clear" w:color="auto" w:fill="auto"/>
          <w:lang w:val="en-US" w:eastAsia="zh-CN" w:bidi="ar"/>
        </w:rPr>
      </w:pPr>
      <w:r>
        <w:rPr>
          <w:rFonts w:hint="eastAsia" w:ascii="宋体" w:hAnsi="宋体" w:cs="宋体"/>
          <w:color w:val="auto"/>
          <w:sz w:val="24"/>
          <w:highlight w:val="none"/>
          <w:shd w:val="clear" w:color="auto" w:fill="auto"/>
        </w:rPr>
        <w:t>即使产品已经验收入库（或安装调试完毕）后，采购人才发现产品为不合格产品的，也视为</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违约，</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应当承担本条约定的责任。同时采购人有权退回库存产品。</w:t>
      </w:r>
    </w:p>
    <w:p w14:paraId="5B0AA179">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val="en-US" w:eastAsia="zh-CN" w:bidi="ar"/>
        </w:rPr>
        <w:t>（5）</w:t>
      </w:r>
      <w:r>
        <w:rPr>
          <w:rFonts w:hint="eastAsia" w:ascii="宋体" w:hAnsi="宋体" w:cs="宋体"/>
          <w:color w:val="auto"/>
          <w:sz w:val="24"/>
          <w:highlight w:val="none"/>
          <w:shd w:val="clear" w:color="auto" w:fill="auto"/>
        </w:rPr>
        <w:t>若根据法律规定或本协议约定产生采购人退、换货或拒绝收货情形，由</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承担退换货产生的各项税、费或其他支出。</w:t>
      </w:r>
    </w:p>
    <w:p w14:paraId="3A846CC5">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val="en-US" w:eastAsia="zh-CN" w:bidi="ar"/>
        </w:rPr>
        <w:t>（6）</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不能保证及时供货，除应当向采购人承担违约责任外，采购人仍有权单方面解除本合同。</w:t>
      </w:r>
    </w:p>
    <w:p w14:paraId="53119740">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val="en-US" w:eastAsia="zh-CN" w:bidi="ar"/>
        </w:rPr>
        <w:t>（7）</w:t>
      </w:r>
      <w:r>
        <w:rPr>
          <w:rFonts w:hint="eastAsia" w:ascii="宋体" w:hAnsi="宋体" w:cs="宋体"/>
          <w:color w:val="auto"/>
          <w:sz w:val="24"/>
          <w:highlight w:val="none"/>
          <w:shd w:val="clear" w:color="auto" w:fill="auto"/>
        </w:rPr>
        <w:t>因</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提供的产品不合格造成采购人或第三人人身损害或财产损失的，由</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承担赔偿责任。</w:t>
      </w:r>
    </w:p>
    <w:p w14:paraId="2ECEBCD8">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shd w:val="clear" w:color="auto" w:fill="auto"/>
          <w:lang w:val="en-US" w:eastAsia="zh-CN" w:bidi="ar"/>
        </w:rPr>
      </w:pPr>
      <w:r>
        <w:rPr>
          <w:rFonts w:hint="eastAsia" w:ascii="宋体" w:hAnsi="宋体" w:eastAsia="宋体" w:cs="宋体"/>
          <w:color w:val="auto"/>
          <w:kern w:val="0"/>
          <w:sz w:val="24"/>
          <w:szCs w:val="24"/>
          <w:highlight w:val="none"/>
          <w:u w:val="none"/>
          <w:lang w:val="en-US" w:eastAsia="zh-CN" w:bidi="ar"/>
        </w:rPr>
        <w:t>（8）</w:t>
      </w:r>
      <w:r>
        <w:rPr>
          <w:rFonts w:hint="eastAsia" w:ascii="宋体" w:hAnsi="宋体" w:cs="宋体"/>
          <w:color w:val="auto"/>
          <w:sz w:val="24"/>
          <w:highlight w:val="none"/>
          <w:shd w:val="clear" w:color="auto" w:fill="auto"/>
        </w:rPr>
        <w:t>若因</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原因造成采购人挂网执行存在问题以及线上支付不及时、造成采购人未挂网采购的或者存在其他问题的，</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应承担违约责任，且采购人有权要求</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支付该批货物价款20%的违约金，采购人有权单方面解除合同。</w:t>
      </w:r>
    </w:p>
    <w:p w14:paraId="7A17C9B7">
      <w:pPr>
        <w:pStyle w:val="7"/>
        <w:keepNext w:val="0"/>
        <w:keepLines w:val="0"/>
        <w:pageBreakBefore w:val="0"/>
        <w:kinsoku/>
        <w:wordWrap/>
        <w:overflowPunct/>
        <w:topLinePunct w:val="0"/>
        <w:autoSpaceDE/>
        <w:autoSpaceDN/>
        <w:bidi w:val="0"/>
        <w:adjustRightInd/>
        <w:snapToGrid/>
        <w:spacing w:line="460" w:lineRule="exact"/>
        <w:ind w:firstLine="482" w:firstLineChars="20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2.解决合同纠纷的方式</w:t>
      </w:r>
    </w:p>
    <w:p w14:paraId="4DBFD6F0">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val="en-US" w:eastAsia="zh-CN" w:bidi="ar"/>
        </w:rPr>
        <w:t>（1）</w:t>
      </w:r>
      <w:r>
        <w:rPr>
          <w:rFonts w:hint="eastAsia" w:ascii="宋体" w:hAnsi="宋体" w:cs="宋体"/>
          <w:color w:val="auto"/>
          <w:sz w:val="24"/>
          <w:highlight w:val="none"/>
          <w:shd w:val="clear" w:color="auto" w:fill="auto"/>
        </w:rPr>
        <w:t>因货物的质量问题发生的争议，由法定质量鉴定机构或其认可的质量鉴定机构进行质量鉴定。货物符合标准的，鉴定费由采购人承担；货物不符合质量标准的，鉴定费由</w:t>
      </w:r>
      <w:r>
        <w:rPr>
          <w:rFonts w:hint="eastAsia" w:ascii="宋体" w:hAnsi="宋体" w:cs="宋体"/>
          <w:color w:val="auto"/>
          <w:sz w:val="24"/>
          <w:highlight w:val="none"/>
          <w:shd w:val="clear" w:color="auto" w:fill="auto"/>
          <w:lang w:eastAsia="zh-CN"/>
        </w:rPr>
        <w:t>中选供应商</w:t>
      </w:r>
      <w:r>
        <w:rPr>
          <w:rFonts w:hint="eastAsia" w:ascii="宋体" w:hAnsi="宋体" w:cs="宋体"/>
          <w:color w:val="auto"/>
          <w:sz w:val="24"/>
          <w:highlight w:val="none"/>
          <w:shd w:val="clear" w:color="auto" w:fill="auto"/>
        </w:rPr>
        <w:t>承担。</w:t>
      </w:r>
    </w:p>
    <w:p w14:paraId="4DDBA129">
      <w:pPr>
        <w:keepNext w:val="0"/>
        <w:keepLines w:val="0"/>
        <w:pageBreakBefore w:val="0"/>
        <w:kinsoku/>
        <w:wordWrap/>
        <w:overflowPunct/>
        <w:topLinePunct w:val="0"/>
        <w:autoSpaceDE/>
        <w:autoSpaceDN/>
        <w:bidi w:val="0"/>
        <w:adjustRightInd/>
        <w:snapToGrid/>
        <w:spacing w:line="460" w:lineRule="exact"/>
        <w:ind w:firstLine="480" w:firstLineChars="200"/>
        <w:jc w:val="left"/>
        <w:textAlignment w:val="center"/>
        <w:rPr>
          <w:rFonts w:hint="eastAsia" w:ascii="宋体" w:hAnsi="宋体" w:eastAsia="宋体" w:cs="宋体"/>
          <w:color w:val="auto"/>
          <w:kern w:val="0"/>
          <w:sz w:val="24"/>
          <w:szCs w:val="24"/>
          <w:highlight w:val="none"/>
          <w:u w:val="none"/>
          <w:shd w:val="clear" w:color="auto" w:fill="auto"/>
          <w:lang w:val="en-US" w:eastAsia="zh-CN" w:bidi="ar"/>
        </w:rPr>
      </w:pPr>
      <w:r>
        <w:rPr>
          <w:rFonts w:hint="eastAsia" w:ascii="宋体" w:hAnsi="宋体" w:eastAsia="宋体" w:cs="宋体"/>
          <w:color w:val="auto"/>
          <w:kern w:val="0"/>
          <w:sz w:val="24"/>
          <w:szCs w:val="24"/>
          <w:highlight w:val="none"/>
          <w:u w:val="none"/>
          <w:lang w:val="en-US" w:eastAsia="zh-CN" w:bidi="ar"/>
        </w:rPr>
        <w:t>（2）</w:t>
      </w:r>
      <w:r>
        <w:rPr>
          <w:rFonts w:hint="eastAsia" w:ascii="宋体" w:hAnsi="宋体" w:cs="宋体"/>
          <w:color w:val="auto"/>
          <w:sz w:val="24"/>
          <w:highlight w:val="none"/>
          <w:shd w:val="clear" w:color="auto" w:fill="auto"/>
        </w:rPr>
        <w:t>合同履行期间，若双方发生争议，可协商或由有关部门调解解决，协商或调解不成的</w:t>
      </w:r>
      <w:r>
        <w:rPr>
          <w:rFonts w:hint="eastAsia" w:ascii="宋体" w:hAnsi="宋体" w:cs="宋体"/>
          <w:color w:val="auto"/>
          <w:sz w:val="24"/>
          <w:highlight w:val="none"/>
          <w:shd w:val="clear" w:color="auto" w:fill="auto"/>
          <w:lang w:eastAsia="zh-CN"/>
        </w:rPr>
        <w:t>，</w:t>
      </w:r>
      <w:r>
        <w:rPr>
          <w:rFonts w:hint="eastAsia" w:ascii="宋体" w:hAnsi="宋体" w:cs="宋体"/>
          <w:color w:val="auto"/>
          <w:sz w:val="24"/>
          <w:highlight w:val="none"/>
          <w:shd w:val="clear" w:color="auto" w:fill="auto"/>
        </w:rPr>
        <w:t>可向采购人所在地人民法院依法提起诉讼。</w:t>
      </w:r>
    </w:p>
    <w:p w14:paraId="08488EC1"/>
    <w:sectPr>
      <w:footerReference r:id="rId3" w:type="default"/>
      <w:pgSz w:w="11906" w:h="16838"/>
      <w:pgMar w:top="1134" w:right="1134"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87C1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D9DBBEF">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D9DBBEF">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E28D5"/>
    <w:rsid w:val="3B7E2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2025-01-17T08:24:00Z</dcterms:created>
  <dc:creator>LC</dc:creator>
  <cp:lastModifiedBy>LC</cp:lastModifiedBy>
  <dcterms:modified xsi:type="dcterms:W3CDTF">2025-01-17T08:26:23Z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671BAA918CFB4404BC13316451B10404_11</vt:lpwstr>
  </property>
  <property fmtid="{D5CDD505-2E9C-101B-9397-08002B2CF9AE}" pid="4" name="KSOTemplateDocerSaveRecord">
    <vt:lpwstr>eyJoZGlkIjoiNjY1NjlkNDNmNWRkNmU3Mjc1YTY2ZTYwZGZjMDRlYTkiLCJ1c2VySWQiOiIyNTk3MzYwMTgifQ==</vt:lpwstr>
  </property>
</Properties>
</file>