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2"/>
        <w:bidi w:val="0"/>
        <w:rPr>
          <w:rFonts w:hint="eastAsia"/>
        </w:rPr>
      </w:pPr>
      <w:bookmarkStart w:id="1" w:name="_GoBack"/>
      <w:bookmarkEnd w:id="1"/>
      <w:bookmarkStart w:id="0" w:name="_Toc16787"/>
      <w:r>
        <w:rPr>
          <w:rFonts w:hint="eastAsia"/>
        </w:rPr>
        <w:t>第三章 技术、服务及其他要求</w:t>
      </w:r>
      <w:bookmarkEnd w:id="0"/>
    </w:p>
    <w:p w14:paraId="10DE65F6">
      <w:pPr>
        <w:pStyle w:val="6"/>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7B6BCD6D">
      <w:pPr>
        <w:pStyle w:val="6"/>
        <w:jc w:val="left"/>
        <w:outlineLvl w:val="2"/>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57FD939B">
      <w:pPr>
        <w:pStyle w:val="6"/>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本项目提供的产品，必须为“四川省药品和医用耗材招采管理系统”中已挂网产品（不含正在挂网和备案的产品）。</w:t>
      </w:r>
    </w:p>
    <w:tbl>
      <w:tblPr>
        <w:tblStyle w:val="3"/>
        <w:tblW w:w="931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19"/>
        <w:gridCol w:w="877"/>
        <w:gridCol w:w="1417"/>
        <w:gridCol w:w="1477"/>
        <w:gridCol w:w="1402"/>
        <w:gridCol w:w="1710"/>
        <w:gridCol w:w="1710"/>
      </w:tblGrid>
      <w:tr w14:paraId="5CD8D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4" w:hRule="atLeast"/>
          <w:jc w:val="center"/>
        </w:trPr>
        <w:tc>
          <w:tcPr>
            <w:tcW w:w="719" w:type="dxa"/>
            <w:vAlign w:val="center"/>
          </w:tcPr>
          <w:p w14:paraId="2F03DFAD">
            <w:pPr>
              <w:pStyle w:val="6"/>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采购包号</w:t>
            </w:r>
          </w:p>
        </w:tc>
        <w:tc>
          <w:tcPr>
            <w:tcW w:w="877" w:type="dxa"/>
            <w:vAlign w:val="center"/>
          </w:tcPr>
          <w:p w14:paraId="32724612">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417" w:type="dxa"/>
            <w:vAlign w:val="center"/>
          </w:tcPr>
          <w:p w14:paraId="794D5BA5">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1477" w:type="dxa"/>
            <w:vAlign w:val="center"/>
          </w:tcPr>
          <w:p w14:paraId="1D643E93">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★单价限价（元）</w:t>
            </w:r>
          </w:p>
        </w:tc>
        <w:tc>
          <w:tcPr>
            <w:tcW w:w="1402" w:type="dxa"/>
            <w:vAlign w:val="center"/>
          </w:tcPr>
          <w:p w14:paraId="3CF7A6E0">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★计量单位</w:t>
            </w:r>
          </w:p>
        </w:tc>
        <w:tc>
          <w:tcPr>
            <w:tcW w:w="1710" w:type="dxa"/>
            <w:vAlign w:val="center"/>
          </w:tcPr>
          <w:p w14:paraId="42ECAF0B">
            <w:pPr>
              <w:pStyle w:val="6"/>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预计数量</w:t>
            </w:r>
          </w:p>
        </w:tc>
        <w:tc>
          <w:tcPr>
            <w:tcW w:w="1710" w:type="dxa"/>
            <w:vAlign w:val="center"/>
          </w:tcPr>
          <w:p w14:paraId="29A1E6E7">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最高限价/预算金额（元）</w:t>
            </w:r>
          </w:p>
        </w:tc>
      </w:tr>
      <w:tr w14:paraId="6A829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719" w:type="dxa"/>
            <w:vAlign w:val="center"/>
          </w:tcPr>
          <w:p w14:paraId="0F28B252">
            <w:pPr>
              <w:pStyle w:val="6"/>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877" w:type="dxa"/>
            <w:vAlign w:val="center"/>
          </w:tcPr>
          <w:p w14:paraId="2797DC6D">
            <w:pPr>
              <w:pStyle w:val="6"/>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1-1</w:t>
            </w:r>
          </w:p>
        </w:tc>
        <w:tc>
          <w:tcPr>
            <w:tcW w:w="1417" w:type="dxa"/>
            <w:vAlign w:val="center"/>
          </w:tcPr>
          <w:p w14:paraId="20F19EB1">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医用护理包（1）</w:t>
            </w:r>
          </w:p>
        </w:tc>
        <w:tc>
          <w:tcPr>
            <w:tcW w:w="1477" w:type="dxa"/>
            <w:vAlign w:val="center"/>
          </w:tcPr>
          <w:p w14:paraId="6EA4A03C">
            <w:pPr>
              <w:spacing w:line="400" w:lineRule="exact"/>
              <w:jc w:val="center"/>
              <w:rPr>
                <w:rFonts w:hint="default"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163.07</w:t>
            </w:r>
          </w:p>
        </w:tc>
        <w:tc>
          <w:tcPr>
            <w:tcW w:w="1402" w:type="dxa"/>
            <w:vAlign w:val="center"/>
          </w:tcPr>
          <w:p w14:paraId="1335326F">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包</w:t>
            </w:r>
          </w:p>
        </w:tc>
        <w:tc>
          <w:tcPr>
            <w:tcW w:w="1710" w:type="dxa"/>
            <w:vAlign w:val="center"/>
          </w:tcPr>
          <w:p w14:paraId="28CF2ACF">
            <w:pPr>
              <w:pStyle w:val="6"/>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按需采购</w:t>
            </w:r>
          </w:p>
        </w:tc>
        <w:tc>
          <w:tcPr>
            <w:tcW w:w="1710" w:type="dxa"/>
            <w:vAlign w:val="center"/>
          </w:tcPr>
          <w:p w14:paraId="49F8BE2C">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5E70E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719" w:type="dxa"/>
            <w:vAlign w:val="center"/>
          </w:tcPr>
          <w:p w14:paraId="6A15A6D7">
            <w:pPr>
              <w:pStyle w:val="6"/>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877" w:type="dxa"/>
            <w:vAlign w:val="center"/>
          </w:tcPr>
          <w:p w14:paraId="70F72AF4">
            <w:pPr>
              <w:pStyle w:val="6"/>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1417" w:type="dxa"/>
            <w:vAlign w:val="center"/>
          </w:tcPr>
          <w:p w14:paraId="268F5901">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医用护理包（2）</w:t>
            </w:r>
          </w:p>
        </w:tc>
        <w:tc>
          <w:tcPr>
            <w:tcW w:w="1477" w:type="dxa"/>
            <w:vAlign w:val="center"/>
          </w:tcPr>
          <w:p w14:paraId="09CB64B3">
            <w:pPr>
              <w:spacing w:line="400" w:lineRule="exact"/>
              <w:jc w:val="center"/>
              <w:rPr>
                <w:rFonts w:hint="default"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348.00</w:t>
            </w:r>
          </w:p>
        </w:tc>
        <w:tc>
          <w:tcPr>
            <w:tcW w:w="1402" w:type="dxa"/>
            <w:vAlign w:val="center"/>
          </w:tcPr>
          <w:p w14:paraId="2AD521E6">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包</w:t>
            </w:r>
          </w:p>
        </w:tc>
        <w:tc>
          <w:tcPr>
            <w:tcW w:w="1710" w:type="dxa"/>
            <w:vAlign w:val="center"/>
          </w:tcPr>
          <w:p w14:paraId="042B3A03">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按需采购</w:t>
            </w:r>
          </w:p>
        </w:tc>
        <w:tc>
          <w:tcPr>
            <w:tcW w:w="1710" w:type="dxa"/>
            <w:vAlign w:val="center"/>
          </w:tcPr>
          <w:p w14:paraId="52E0E8D2">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587FF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719" w:type="dxa"/>
            <w:vAlign w:val="center"/>
          </w:tcPr>
          <w:p w14:paraId="64C266C7">
            <w:pPr>
              <w:pStyle w:val="6"/>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2</w:t>
            </w:r>
          </w:p>
        </w:tc>
        <w:tc>
          <w:tcPr>
            <w:tcW w:w="877" w:type="dxa"/>
            <w:vAlign w:val="center"/>
          </w:tcPr>
          <w:p w14:paraId="5A5D47D2">
            <w:pPr>
              <w:pStyle w:val="6"/>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2-1</w:t>
            </w:r>
          </w:p>
        </w:tc>
        <w:tc>
          <w:tcPr>
            <w:tcW w:w="1417" w:type="dxa"/>
            <w:vAlign w:val="center"/>
          </w:tcPr>
          <w:p w14:paraId="0C8155EB">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注射用修饰透明质酸钠凝胶</w:t>
            </w:r>
          </w:p>
        </w:tc>
        <w:tc>
          <w:tcPr>
            <w:tcW w:w="1477" w:type="dxa"/>
            <w:vAlign w:val="center"/>
          </w:tcPr>
          <w:p w14:paraId="56012CD9">
            <w:pPr>
              <w:pStyle w:val="6"/>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2031.66</w:t>
            </w:r>
          </w:p>
        </w:tc>
        <w:tc>
          <w:tcPr>
            <w:tcW w:w="1402" w:type="dxa"/>
            <w:vAlign w:val="center"/>
          </w:tcPr>
          <w:p w14:paraId="315448EE">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33E0FB5D">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按需采购</w:t>
            </w:r>
          </w:p>
        </w:tc>
        <w:tc>
          <w:tcPr>
            <w:tcW w:w="1710" w:type="dxa"/>
            <w:vAlign w:val="center"/>
          </w:tcPr>
          <w:p w14:paraId="499B423B">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bl>
    <w:p w14:paraId="5D0E9439">
      <w:pPr>
        <w:pStyle w:val="6"/>
        <w:ind w:firstLine="480"/>
        <w:jc w:val="left"/>
        <w:rPr>
          <w:rFonts w:hint="eastAsia" w:ascii="仿宋" w:hAnsi="仿宋" w:eastAsia="仿宋" w:cs="仿宋"/>
          <w:b/>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4B7445EF">
      <w:pPr>
        <w:pStyle w:val="6"/>
        <w:jc w:val="left"/>
        <w:outlineLvl w:val="2"/>
        <w:rPr>
          <w:rFonts w:hint="eastAsia" w:ascii="仿宋" w:hAnsi="仿宋" w:eastAsia="仿宋" w:cs="仿宋"/>
          <w:b/>
          <w:sz w:val="28"/>
          <w:highlight w:val="none"/>
        </w:rPr>
      </w:pPr>
      <w:r>
        <w:rPr>
          <w:rFonts w:hint="eastAsia" w:ascii="仿宋" w:hAnsi="仿宋" w:eastAsia="仿宋" w:cs="仿宋"/>
          <w:b/>
          <w:sz w:val="28"/>
          <w:highlight w:val="none"/>
        </w:rPr>
        <w:t>3.2.技术要求</w:t>
      </w:r>
    </w:p>
    <w:tbl>
      <w:tblPr>
        <w:tblStyle w:val="3"/>
        <w:tblW w:w="957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81"/>
        <w:gridCol w:w="1173"/>
        <w:gridCol w:w="1581"/>
        <w:gridCol w:w="3287"/>
        <w:gridCol w:w="2754"/>
      </w:tblGrid>
      <w:tr w14:paraId="07CFF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781" w:type="dxa"/>
            <w:vAlign w:val="center"/>
          </w:tcPr>
          <w:p w14:paraId="2D69E289">
            <w:pPr>
              <w:pStyle w:val="6"/>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采购包号</w:t>
            </w:r>
          </w:p>
        </w:tc>
        <w:tc>
          <w:tcPr>
            <w:tcW w:w="1173" w:type="dxa"/>
            <w:vAlign w:val="center"/>
          </w:tcPr>
          <w:p w14:paraId="2597D054">
            <w:pPr>
              <w:pStyle w:val="6"/>
              <w:jc w:val="center"/>
              <w:rPr>
                <w:rFonts w:hint="eastAsia" w:ascii="仿宋" w:hAnsi="仿宋" w:eastAsia="仿宋" w:cs="仿宋"/>
                <w:sz w:val="22"/>
                <w:szCs w:val="22"/>
              </w:rPr>
            </w:pPr>
            <w:r>
              <w:rPr>
                <w:rFonts w:hint="eastAsia" w:ascii="仿宋" w:hAnsi="仿宋" w:eastAsia="仿宋" w:cs="仿宋"/>
                <w:sz w:val="22"/>
                <w:szCs w:val="22"/>
                <w:lang w:val="en-US" w:eastAsia="zh-CN"/>
              </w:rPr>
              <w:t>标的名称</w:t>
            </w:r>
          </w:p>
        </w:tc>
        <w:tc>
          <w:tcPr>
            <w:tcW w:w="1581" w:type="dxa"/>
            <w:vAlign w:val="center"/>
          </w:tcPr>
          <w:p w14:paraId="7555B382">
            <w:pPr>
              <w:pStyle w:val="6"/>
              <w:jc w:val="center"/>
              <w:rPr>
                <w:rFonts w:hint="eastAsia" w:ascii="仿宋" w:hAnsi="仿宋" w:eastAsia="仿宋" w:cs="仿宋"/>
                <w:sz w:val="22"/>
                <w:szCs w:val="22"/>
              </w:rPr>
            </w:pPr>
            <w:r>
              <w:rPr>
                <w:rFonts w:hint="eastAsia" w:ascii="仿宋" w:hAnsi="仿宋" w:eastAsia="仿宋" w:cs="仿宋"/>
                <w:sz w:val="22"/>
                <w:szCs w:val="22"/>
                <w:lang w:val="en-US" w:eastAsia="zh-CN"/>
              </w:rPr>
              <w:t>医保耗材代码（前9位）</w:t>
            </w:r>
          </w:p>
        </w:tc>
        <w:tc>
          <w:tcPr>
            <w:tcW w:w="3287" w:type="dxa"/>
            <w:vAlign w:val="center"/>
          </w:tcPr>
          <w:p w14:paraId="091070E9">
            <w:pPr>
              <w:pStyle w:val="6"/>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用途</w:t>
            </w:r>
          </w:p>
        </w:tc>
        <w:tc>
          <w:tcPr>
            <w:tcW w:w="2754" w:type="dxa"/>
            <w:vAlign w:val="center"/>
          </w:tcPr>
          <w:p w14:paraId="486464EE">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参考配置</w:t>
            </w:r>
          </w:p>
        </w:tc>
      </w:tr>
      <w:tr w14:paraId="31B14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781" w:type="dxa"/>
            <w:vAlign w:val="center"/>
          </w:tcPr>
          <w:p w14:paraId="031DD110">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1173" w:type="dxa"/>
            <w:vAlign w:val="center"/>
          </w:tcPr>
          <w:p w14:paraId="0EA4E6F5">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医用护理包（1）</w:t>
            </w:r>
          </w:p>
        </w:tc>
        <w:tc>
          <w:tcPr>
            <w:tcW w:w="1581" w:type="dxa"/>
            <w:vAlign w:val="center"/>
          </w:tcPr>
          <w:p w14:paraId="1687F8A6">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C140202000</w:t>
            </w:r>
          </w:p>
        </w:tc>
        <w:tc>
          <w:tcPr>
            <w:tcW w:w="3287" w:type="dxa"/>
            <w:vAlign w:val="center"/>
          </w:tcPr>
          <w:p w14:paraId="547B85B2">
            <w:pPr>
              <w:pStyle w:val="6"/>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通过在创面表面形成保护层，起物理屏障作用，用于受损皮肤的护理</w:t>
            </w:r>
          </w:p>
        </w:tc>
        <w:tc>
          <w:tcPr>
            <w:tcW w:w="2754" w:type="dxa"/>
            <w:vAlign w:val="center"/>
          </w:tcPr>
          <w:p w14:paraId="017B0BDD">
            <w:pPr>
              <w:pStyle w:val="6"/>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医用棉签；一次性使用灭菌橡胶外科手套；重组胶原蛋白液体敷料；泵头。</w:t>
            </w:r>
          </w:p>
        </w:tc>
      </w:tr>
      <w:tr w14:paraId="71181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781" w:type="dxa"/>
            <w:vAlign w:val="center"/>
          </w:tcPr>
          <w:p w14:paraId="74953F03">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1173" w:type="dxa"/>
            <w:vAlign w:val="center"/>
          </w:tcPr>
          <w:p w14:paraId="6FB66866">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医用护理包（2）</w:t>
            </w:r>
          </w:p>
        </w:tc>
        <w:tc>
          <w:tcPr>
            <w:tcW w:w="1581" w:type="dxa"/>
            <w:vAlign w:val="center"/>
          </w:tcPr>
          <w:p w14:paraId="37622088">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C140202000</w:t>
            </w:r>
          </w:p>
        </w:tc>
        <w:tc>
          <w:tcPr>
            <w:tcW w:w="3287" w:type="dxa"/>
            <w:vAlign w:val="center"/>
          </w:tcPr>
          <w:p w14:paraId="332C10A8">
            <w:pPr>
              <w:pStyle w:val="6"/>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用于非慢性创面(如浅表性创面、果酸换肤、微整形术后创面)的护理，为创面愈合提供微环境</w:t>
            </w:r>
          </w:p>
        </w:tc>
        <w:tc>
          <w:tcPr>
            <w:tcW w:w="2754" w:type="dxa"/>
            <w:vAlign w:val="center"/>
          </w:tcPr>
          <w:p w14:paraId="122EE854">
            <w:pPr>
              <w:pStyle w:val="6"/>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透明质酸敷料贴；水杨酸凝胶；医用棉片；医用棉签。</w:t>
            </w:r>
          </w:p>
        </w:tc>
      </w:tr>
      <w:tr w14:paraId="557A0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781" w:type="dxa"/>
            <w:vAlign w:val="center"/>
          </w:tcPr>
          <w:p w14:paraId="3C5189B6">
            <w:pPr>
              <w:pStyle w:val="6"/>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2</w:t>
            </w:r>
          </w:p>
        </w:tc>
        <w:tc>
          <w:tcPr>
            <w:tcW w:w="1173" w:type="dxa"/>
            <w:vAlign w:val="center"/>
          </w:tcPr>
          <w:p w14:paraId="6675B4EA">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注射用修饰透明质酸钠凝胶</w:t>
            </w:r>
          </w:p>
        </w:tc>
        <w:tc>
          <w:tcPr>
            <w:tcW w:w="1581" w:type="dxa"/>
            <w:vAlign w:val="center"/>
          </w:tcPr>
          <w:p w14:paraId="192E0182">
            <w:pPr>
              <w:pStyle w:val="6"/>
              <w:jc w:val="center"/>
              <w:rPr>
                <w:rFonts w:hint="eastAsia" w:ascii="仿宋" w:hAnsi="仿宋" w:eastAsia="仿宋" w:cs="仿宋"/>
                <w:sz w:val="22"/>
                <w:szCs w:val="22"/>
                <w:lang w:val="en-US" w:eastAsia="zh-CN"/>
              </w:rPr>
            </w:pPr>
            <w:r>
              <w:rPr>
                <w:rFonts w:hint="eastAsia" w:ascii="仿宋" w:hAnsi="仿宋" w:eastAsia="仿宋" w:cs="仿宋"/>
                <w:sz w:val="22"/>
                <w:szCs w:val="22"/>
              </w:rPr>
              <w:t>★</w:t>
            </w:r>
            <w:r>
              <w:rPr>
                <w:rFonts w:hint="eastAsia" w:ascii="仿宋" w:hAnsi="仿宋" w:eastAsia="仿宋" w:cs="仿宋"/>
                <w:sz w:val="22"/>
                <w:szCs w:val="22"/>
                <w:lang w:val="en-US" w:eastAsia="zh-CN"/>
              </w:rPr>
              <w:t>C070105081</w:t>
            </w:r>
          </w:p>
        </w:tc>
        <w:tc>
          <w:tcPr>
            <w:tcW w:w="3287" w:type="dxa"/>
            <w:vAlign w:val="center"/>
          </w:tcPr>
          <w:p w14:paraId="5408535D">
            <w:pPr>
              <w:pStyle w:val="6"/>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用于面部真皮组织浅层到中层注射以纠正额部皱纹</w:t>
            </w:r>
          </w:p>
        </w:tc>
        <w:tc>
          <w:tcPr>
            <w:tcW w:w="2754" w:type="dxa"/>
            <w:vAlign w:val="center"/>
          </w:tcPr>
          <w:p w14:paraId="3F31102E">
            <w:pPr>
              <w:pStyle w:val="6"/>
              <w:jc w:val="left"/>
              <w:rPr>
                <w:rFonts w:hint="eastAsia" w:ascii="仿宋" w:hAnsi="仿宋" w:eastAsia="仿宋" w:cs="仿宋"/>
                <w:sz w:val="22"/>
                <w:szCs w:val="22"/>
                <w:lang w:val="en-US" w:eastAsia="zh-CN"/>
              </w:rPr>
            </w:pPr>
          </w:p>
        </w:tc>
      </w:tr>
    </w:tbl>
    <w:p w14:paraId="0F3BD897">
      <w:pPr>
        <w:pStyle w:val="6"/>
        <w:jc w:val="left"/>
        <w:outlineLvl w:val="9"/>
        <w:rPr>
          <w:rFonts w:hint="eastAsia" w:ascii="仿宋" w:hAnsi="仿宋" w:eastAsia="仿宋" w:cs="仿宋"/>
          <w:b/>
          <w:sz w:val="28"/>
          <w:highlight w:val="none"/>
          <w:lang w:eastAsia="zh-CN"/>
        </w:rPr>
      </w:pPr>
    </w:p>
    <w:p w14:paraId="70D28E0F">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项目采购要求（包1，包2）</w:t>
      </w:r>
    </w:p>
    <w:p w14:paraId="2FB04CDF">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39DFFD04">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本项目所有标的均须提供挂网产品。</w:t>
      </w:r>
    </w:p>
    <w:p w14:paraId="2BDF99A1">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注：本项目中所指“挂网产品”，为“四川省药品和医用耗材招采管理系统”中已挂网产品（不含正在挂网和备案的产品）。</w:t>
      </w:r>
    </w:p>
    <w:p w14:paraId="54E3E483">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21EDBC6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1.必须提供样品，以供评审专家现场评审。</w:t>
      </w:r>
    </w:p>
    <w:p w14:paraId="0D737996">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2.提交的样品不符合实际需求或存在原理错误则视为无效响应。</w:t>
      </w:r>
    </w:p>
    <w:p w14:paraId="7378C078">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3.本项目投标人提供的样品，应与该投标人响应文件保持一致（具体参考《医疗器械说明书和标签管理规定》）。</w:t>
      </w:r>
    </w:p>
    <w:p w14:paraId="13733140">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center"/>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270550C0">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04CF72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4F55DA2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5635AD22">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332A689B">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（1）结算方式：货款按实结算且由双方协商决定。</w:t>
      </w:r>
    </w:p>
    <w:p w14:paraId="418A56E1">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（2）成交价格包含成本、运输、包装、培训、配送、伴随服务、税费及其他附加费用。</w:t>
      </w:r>
    </w:p>
    <w:p w14:paraId="23563FD6">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3.医用耗材质量保证</w:t>
      </w:r>
    </w:p>
    <w:p w14:paraId="1A7A483E">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78205BD2">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3EC9C8A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425BB2F5">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4ED9B07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5F7F1522">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0DF1F457">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6AC9F63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37F5EFC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531CD821">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28625BDF">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0C7C6965">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35D8E16B">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506CDCE">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（2）要求中标人指派专人负责与采购人联系售后服务事宜；在投标文件中列明售后联系人及联系电话。</w:t>
      </w:r>
    </w:p>
    <w:p w14:paraId="0FCECDB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2576EE6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786BE023">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p>
    <w:p w14:paraId="0925851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65D5788C">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3212433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292CB0B7">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53031346">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1A66A13C">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3DE25B4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24DFBFFE">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4D93FD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（1）成交投标人须严格按照《商品包装政府采购需求标准(试行)》、《快递包装政府采购需 求标准(试行)》(财办库〔2020〕123 号)的要求进行产品及相关快递服务的包装。 </w:t>
      </w:r>
    </w:p>
    <w:p w14:paraId="053DE02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6F9196CE">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color w:val="000000"/>
          <w:sz w:val="22"/>
          <w:szCs w:val="22"/>
          <w:lang w:val="en-US" w:eastAsia="zh-CN"/>
        </w:rPr>
        <w:t>（3）本次采购的标的物需要运输，投标人在合同约定的时间内将标的物运输至合同约定地点</w:t>
      </w:r>
      <w:r>
        <w:rPr>
          <w:rFonts w:hint="eastAsia" w:ascii="仿宋" w:hAnsi="仿宋" w:eastAsia="仿宋" w:cs="仿宋"/>
          <w:b w:val="0"/>
          <w:bCs w:val="0"/>
          <w:sz w:val="24"/>
          <w:szCs w:val="24"/>
          <w:highlight w:val="none"/>
          <w:lang w:val="en-US" w:eastAsia="zh-CN"/>
        </w:rPr>
        <w:t>。</w:t>
      </w:r>
    </w:p>
    <w:p w14:paraId="1424F6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default" w:ascii="仿宋" w:hAnsi="仿宋" w:eastAsia="仿宋" w:cs="仿宋"/>
          <w:b/>
          <w:bCs/>
          <w:color w:val="auto"/>
          <w:kern w:val="0"/>
          <w:sz w:val="22"/>
          <w:szCs w:val="22"/>
          <w:highlight w:val="none"/>
          <w:shd w:val="clear" w:color="auto" w:fill="auto"/>
          <w:lang w:val="en-US" w:eastAsia="zh-CN"/>
        </w:rPr>
      </w:pPr>
      <w:r>
        <w:rPr>
          <w:rFonts w:hint="eastAsia" w:ascii="仿宋" w:hAnsi="仿宋" w:eastAsia="仿宋" w:cs="仿宋"/>
          <w:sz w:val="24"/>
          <w:szCs w:val="24"/>
          <w:highlight w:val="none"/>
        </w:rPr>
        <w:br w:type="textWrapping"/>
      </w:r>
      <w:r>
        <w:rPr>
          <w:rFonts w:hint="eastAsia" w:ascii="仿宋" w:hAnsi="仿宋" w:eastAsia="仿宋" w:cs="仿宋"/>
          <w:b/>
          <w:kern w:val="0"/>
          <w:sz w:val="28"/>
          <w:szCs w:val="28"/>
          <w:highlight w:val="none"/>
          <w:lang w:val="en-US" w:eastAsia="zh-CN"/>
        </w:rPr>
        <w:t>3.4其它要求</w:t>
      </w:r>
    </w:p>
    <w:p w14:paraId="78B4B12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w:t>
      </w:r>
      <w:r>
        <w:rPr>
          <w:rFonts w:hint="default" w:ascii="仿宋" w:hAnsi="仿宋" w:eastAsia="仿宋" w:cs="仿宋"/>
          <w:b/>
          <w:sz w:val="24"/>
          <w:szCs w:val="24"/>
          <w:highlight w:val="none"/>
          <w:lang w:val="en-US" w:eastAsia="zh-CN"/>
        </w:rPr>
        <w:t>违约责任与解决争议的方法：</w:t>
      </w:r>
    </w:p>
    <w:p w14:paraId="2C3DE5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eastAsia="仿宋" w:cs="Times New Roman"/>
          <w:color w:val="auto"/>
          <w:sz w:val="24"/>
          <w:highlight w:val="none"/>
          <w:shd w:val="clear" w:color="auto" w:fill="auto"/>
          <w:lang w:eastAsia="zh-CN"/>
        </w:rPr>
        <w:t>（</w:t>
      </w:r>
      <w:r>
        <w:rPr>
          <w:rFonts w:hint="eastAsia" w:eastAsia="仿宋" w:cs="Times New Roman"/>
          <w:color w:val="auto"/>
          <w:sz w:val="24"/>
          <w:highlight w:val="none"/>
          <w:shd w:val="clear" w:color="auto" w:fill="auto"/>
          <w:lang w:val="en-US" w:eastAsia="zh-CN"/>
        </w:rPr>
        <w:t>一</w:t>
      </w:r>
      <w:r>
        <w:rPr>
          <w:rFonts w:hint="eastAsia"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违约责任</w:t>
      </w:r>
    </w:p>
    <w:p w14:paraId="6EFBD2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1、</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逾期15日内不能提供</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所需医用耗材的，应向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每日支付该批次货款千分之三的违约金。</w:t>
      </w:r>
    </w:p>
    <w:p w14:paraId="69EA17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2、</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逾期15日及以上不能交付以上产品的，视同不能供货，须向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支付该批次货款的10%的违约金，同时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可以单方面解除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69B207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3、若因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原因造成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被监管部门通报三次及以上的或者</w:t>
      </w:r>
      <w:r>
        <w:rPr>
          <w:rFonts w:hint="eastAsia" w:ascii="Times New Roman" w:hAnsi="Times New Roman" w:eastAsia="仿宋" w:cs="Times New Roman"/>
          <w:color w:val="auto"/>
          <w:sz w:val="24"/>
          <w:highlight w:val="none"/>
          <w:shd w:val="clear" w:color="auto" w:fill="auto"/>
          <w:lang w:eastAsia="zh-CN"/>
        </w:rPr>
        <w:t>造成采购人违规采购</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同时</w:t>
      </w:r>
      <w:r>
        <w:rPr>
          <w:rFonts w:hint="default"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w:t>
      </w:r>
      <w:r>
        <w:rPr>
          <w:rFonts w:hint="eastAsia" w:ascii="Times New Roman" w:hAnsi="Times New Roman" w:eastAsia="仿宋" w:cs="Times New Roman"/>
          <w:color w:val="auto"/>
          <w:sz w:val="24"/>
          <w:highlight w:val="none"/>
          <w:shd w:val="clear" w:color="auto" w:fill="auto"/>
        </w:rPr>
        <w:t>。</w:t>
      </w:r>
    </w:p>
    <w:p w14:paraId="47EACB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4、</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销售的产品若发生严重医疗不良事件或被国家法定检测机构检测为不合格产品，视为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违约导致不能实现</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目的，</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限期收回不合格产品，并要求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需承担合同价款20%的违约金，违约金不足以</w:t>
      </w:r>
      <w:r>
        <w:rPr>
          <w:rFonts w:hint="eastAsia" w:ascii="Times New Roman" w:hAnsi="Times New Roman" w:eastAsia="仿宋" w:cs="Times New Roman"/>
          <w:color w:val="auto"/>
          <w:sz w:val="24"/>
          <w:highlight w:val="none"/>
          <w:shd w:val="clear" w:color="auto" w:fill="auto"/>
          <w:lang w:val="en-US" w:eastAsia="zh-Hans"/>
        </w:rPr>
        <w:t>弥补</w:t>
      </w:r>
      <w:r>
        <w:rPr>
          <w:rFonts w:hint="eastAsia" w:ascii="Times New Roman" w:hAnsi="Times New Roman" w:eastAsia="仿宋" w:cs="Times New Roman"/>
          <w:color w:val="auto"/>
          <w:sz w:val="24"/>
          <w:highlight w:val="none"/>
          <w:shd w:val="clear" w:color="auto" w:fill="auto"/>
          <w:lang w:val="en-US" w:eastAsia="zh-CN"/>
        </w:rPr>
        <w:t>采购人</w:t>
      </w:r>
      <w:r>
        <w:rPr>
          <w:rFonts w:hint="eastAsia" w:ascii="Times New Roman" w:hAnsi="Times New Roman" w:eastAsia="仿宋" w:cs="Times New Roman"/>
          <w:color w:val="auto"/>
          <w:sz w:val="24"/>
          <w:highlight w:val="none"/>
          <w:shd w:val="clear" w:color="auto" w:fill="auto"/>
        </w:rPr>
        <w:t>损失的，</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还应当承</w:t>
      </w:r>
      <w:r>
        <w:rPr>
          <w:rFonts w:hint="eastAsia" w:ascii="Times New Roman" w:hAnsi="Times New Roman" w:eastAsia="仿宋" w:cs="Times New Roman"/>
          <w:color w:val="auto"/>
          <w:sz w:val="24"/>
          <w:highlight w:val="none"/>
          <w:shd w:val="clear" w:color="auto" w:fill="auto"/>
          <w:lang w:val="en-US" w:eastAsia="zh-Hans"/>
        </w:rPr>
        <w:t>补足</w:t>
      </w:r>
      <w:r>
        <w:rPr>
          <w:rFonts w:hint="eastAsia" w:ascii="Times New Roman" w:hAnsi="Times New Roman" w:eastAsia="仿宋" w:cs="Times New Roman"/>
          <w:color w:val="auto"/>
          <w:sz w:val="24"/>
          <w:highlight w:val="none"/>
          <w:shd w:val="clear" w:color="auto" w:fill="auto"/>
        </w:rPr>
        <w:t>。</w:t>
      </w:r>
    </w:p>
    <w:p w14:paraId="7076B5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即使产品已经验收入库（或安装调试完毕）后，</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才发现产品为不合格产品的，也视为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应当承担本条约定的责任。同时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有权退回库存产品。</w:t>
      </w:r>
    </w:p>
    <w:p w14:paraId="6F9980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5、若根据法律规定或本协议约定产生</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退、换货或拒绝收货情形，由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承担退换货产生的各项税、费或其他支出。</w:t>
      </w:r>
    </w:p>
    <w:p w14:paraId="11469E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6、</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不能保证及时供货，除应当向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承担违约责任外，</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仍有权单方面解除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413E91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7、因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提供的产品不合格造成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或第三人人身损害或财产损失的，由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承担赔偿责任。</w:t>
      </w:r>
    </w:p>
    <w:p w14:paraId="5B7A2F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val="en-US" w:eastAsia="zh-CN"/>
        </w:rPr>
      </w:pPr>
      <w:r>
        <w:rPr>
          <w:rFonts w:hint="eastAsia" w:ascii="Times New Roman" w:hAnsi="Times New Roman" w:eastAsia="仿宋" w:cs="Times New Roman"/>
          <w:color w:val="auto"/>
          <w:sz w:val="24"/>
          <w:highlight w:val="none"/>
          <w:shd w:val="clear" w:color="auto" w:fill="auto"/>
          <w:lang w:val="en-US" w:eastAsia="zh-CN"/>
        </w:rPr>
        <w:t>8、</w:t>
      </w:r>
      <w:r>
        <w:rPr>
          <w:rFonts w:hint="eastAsia" w:ascii="Times New Roman" w:hAnsi="Times New Roman" w:eastAsia="仿宋" w:cs="Times New Roman"/>
          <w:color w:val="auto"/>
          <w:sz w:val="24"/>
          <w:highlight w:val="none"/>
          <w:shd w:val="clear" w:color="auto" w:fill="auto"/>
          <w:lang w:val="en-US" w:eastAsia="zh-CN"/>
        </w:rPr>
        <w:tab/>
      </w:r>
      <w:r>
        <w:rPr>
          <w:rFonts w:hint="eastAsia" w:ascii="Times New Roman" w:hAnsi="Times New Roman" w:eastAsia="仿宋" w:cs="Times New Roman"/>
          <w:color w:val="auto"/>
          <w:sz w:val="24"/>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的违约金，采购人有权单方面解除合同。</w:t>
      </w:r>
    </w:p>
    <w:p w14:paraId="468D66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eastAsia="仿宋" w:cs="Times New Roman"/>
          <w:color w:val="auto"/>
          <w:sz w:val="24"/>
          <w:highlight w:val="none"/>
          <w:shd w:val="clear" w:color="auto" w:fill="auto"/>
          <w:lang w:eastAsia="zh-CN"/>
        </w:rPr>
        <w:t>（</w:t>
      </w:r>
      <w:r>
        <w:rPr>
          <w:rFonts w:hint="eastAsia" w:eastAsia="仿宋" w:cs="Times New Roman"/>
          <w:color w:val="auto"/>
          <w:sz w:val="24"/>
          <w:highlight w:val="none"/>
          <w:shd w:val="clear" w:color="auto" w:fill="auto"/>
          <w:lang w:val="en-US" w:eastAsia="zh-CN"/>
        </w:rPr>
        <w:t>二</w:t>
      </w:r>
      <w:r>
        <w:rPr>
          <w:rFonts w:hint="eastAsia"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解决合同纠纷的方式</w:t>
      </w:r>
    </w:p>
    <w:p w14:paraId="351603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1、因货物的质量问题发生的争议，由法定质量鉴定机构或其认可的质量鉴定机构进行质量鉴定。货物符合标准的，鉴定费由</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承担；货物不符合质量标准的，鉴定费由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w:t>
      </w:r>
    </w:p>
    <w:p w14:paraId="536D8D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仿宋" w:cs="Times New Roman"/>
          <w:color w:val="auto"/>
          <w:sz w:val="24"/>
          <w:highlight w:val="none"/>
          <w:shd w:val="clear" w:color="auto" w:fill="auto"/>
          <w:lang w:eastAsia="zh-CN"/>
        </w:rPr>
      </w:pPr>
      <w:r>
        <w:rPr>
          <w:rFonts w:hint="eastAsia" w:ascii="Times New Roman" w:hAnsi="Times New Roman" w:eastAsia="仿宋" w:cs="Times New Roman"/>
          <w:color w:val="auto"/>
          <w:sz w:val="24"/>
          <w:highlight w:val="none"/>
          <w:shd w:val="clear" w:color="auto" w:fill="auto"/>
        </w:rPr>
        <w:t>2、合同履行期间，若双方发生争议，可协商或由有关部门调解解决，协商或调解不成的，可向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所在地人民法院依法提起诉讼</w:t>
      </w:r>
      <w:r>
        <w:rPr>
          <w:rFonts w:hint="eastAsia" w:eastAsia="仿宋" w:cs="Times New Roman"/>
          <w:color w:val="auto"/>
          <w:sz w:val="24"/>
          <w:highlight w:val="none"/>
          <w:shd w:val="clear" w:color="auto" w:fill="auto"/>
          <w:lang w:eastAsia="zh-CN"/>
        </w:rPr>
        <w:t>。</w:t>
      </w:r>
    </w:p>
    <w:p w14:paraId="32CF8F2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仿宋" w:cs="Times New Roman"/>
          <w:color w:val="auto"/>
          <w:sz w:val="24"/>
          <w:highlight w:val="none"/>
          <w:shd w:val="clear" w:color="auto" w:fill="auto"/>
          <w:lang w:val="en-US" w:eastAsia="zh-CN"/>
        </w:rPr>
      </w:pPr>
      <w:r>
        <w:rPr>
          <w:rFonts w:hint="eastAsia" w:eastAsia="仿宋" w:cs="Times New Roman"/>
          <w:b/>
          <w:bCs/>
          <w:color w:val="auto"/>
          <w:sz w:val="24"/>
          <w:highlight w:val="none"/>
          <w:shd w:val="clear" w:color="auto" w:fill="auto"/>
          <w:lang w:val="en-US" w:eastAsia="zh-CN"/>
        </w:rPr>
        <w:t>二、</w:t>
      </w:r>
      <w:r>
        <w:rPr>
          <w:rFonts w:hint="default" w:ascii="Times New Roman" w:hAnsi="Times New Roman" w:eastAsia="仿宋" w:cs="Times New Roman"/>
          <w:b/>
          <w:bCs/>
          <w:color w:val="auto"/>
          <w:sz w:val="24"/>
          <w:highlight w:val="none"/>
          <w:shd w:val="clear" w:color="auto" w:fill="auto"/>
        </w:rPr>
        <w:t>合同履行期限：</w:t>
      </w:r>
      <w:r>
        <w:rPr>
          <w:rFonts w:hint="eastAsia" w:ascii="Times New Roman" w:hAnsi="Times New Roman" w:eastAsia="仿宋" w:cs="Times New Roman"/>
          <w:color w:val="auto"/>
          <w:sz w:val="24"/>
          <w:highlight w:val="none"/>
          <w:shd w:val="clear" w:color="auto" w:fill="auto"/>
          <w:lang w:val="en-US" w:eastAsia="zh-CN"/>
        </w:rPr>
        <w:t>2年</w:t>
      </w:r>
    </w:p>
    <w:p w14:paraId="2C7A0E0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仿宋" w:cs="Times New Roman"/>
          <w:color w:val="auto"/>
          <w:sz w:val="24"/>
          <w:highlight w:val="none"/>
          <w:u w:val="none"/>
          <w:shd w:val="clear" w:color="auto" w:fill="auto"/>
          <w:lang w:val="en-US" w:eastAsia="zh-CN"/>
        </w:rPr>
      </w:pPr>
      <w:r>
        <w:rPr>
          <w:rFonts w:hint="eastAsia" w:eastAsia="仿宋" w:cs="Times New Roman"/>
          <w:b/>
          <w:bCs/>
          <w:color w:val="auto"/>
          <w:sz w:val="24"/>
          <w:highlight w:val="none"/>
          <w:shd w:val="clear" w:color="auto" w:fill="auto"/>
          <w:lang w:val="en-US" w:eastAsia="zh-CN"/>
        </w:rPr>
        <w:t>三、</w:t>
      </w:r>
      <w:r>
        <w:rPr>
          <w:rFonts w:hint="default" w:ascii="Times New Roman" w:hAnsi="Times New Roman" w:eastAsia="仿宋" w:cs="Times New Roman"/>
          <w:b/>
          <w:bCs/>
          <w:color w:val="auto"/>
          <w:sz w:val="24"/>
          <w:highlight w:val="none"/>
          <w:shd w:val="clear" w:color="auto" w:fill="auto"/>
        </w:rPr>
        <w:t>合同支付约定：</w:t>
      </w:r>
      <w:r>
        <w:rPr>
          <w:rFonts w:hint="eastAsia" w:ascii="Times New Roman" w:hAnsi="Times New Roman" w:eastAsia="仿宋" w:cs="Times New Roman"/>
          <w:color w:val="auto"/>
          <w:sz w:val="24"/>
          <w:highlight w:val="none"/>
          <w:u w:val="none"/>
          <w:shd w:val="clear" w:color="auto" w:fill="auto"/>
          <w:lang w:val="en-US" w:eastAsia="zh-CN"/>
        </w:rPr>
        <w:t>双方协商确定</w:t>
      </w:r>
    </w:p>
    <w:p w14:paraId="2AADBDE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仿宋" w:cs="Times New Roman"/>
          <w:color w:val="auto"/>
          <w:sz w:val="24"/>
          <w:highlight w:val="none"/>
          <w:u w:val="none"/>
          <w:shd w:val="clear" w:color="auto" w:fill="auto"/>
          <w:lang w:val="en-US" w:eastAsia="zh-CN"/>
        </w:rPr>
      </w:pPr>
      <w:r>
        <w:rPr>
          <w:rFonts w:hint="eastAsia" w:eastAsia="仿宋" w:cs="Times New Roman"/>
          <w:b/>
          <w:bCs/>
          <w:color w:val="auto"/>
          <w:sz w:val="24"/>
          <w:highlight w:val="none"/>
          <w:u w:val="none"/>
          <w:shd w:val="clear" w:color="auto" w:fill="auto"/>
          <w:lang w:val="en-US" w:eastAsia="zh-CN"/>
        </w:rPr>
        <w:t>四、</w:t>
      </w:r>
      <w:r>
        <w:rPr>
          <w:rFonts w:hint="default" w:ascii="Times New Roman" w:hAnsi="Times New Roman" w:eastAsia="仿宋" w:cs="Times New Roman"/>
          <w:b/>
          <w:bCs/>
          <w:color w:val="auto"/>
          <w:sz w:val="24"/>
          <w:highlight w:val="none"/>
          <w:shd w:val="clear" w:color="auto" w:fill="auto"/>
        </w:rPr>
        <w:t>履约验收程序</w:t>
      </w:r>
      <w:r>
        <w:rPr>
          <w:rFonts w:hint="eastAsia" w:ascii="Times New Roman" w:hAnsi="Times New Roman" w:eastAsia="仿宋" w:cs="Times New Roman"/>
          <w:b/>
          <w:bCs/>
          <w:color w:val="auto"/>
          <w:sz w:val="24"/>
          <w:highlight w:val="none"/>
          <w:shd w:val="clear" w:color="auto" w:fill="auto"/>
          <w:lang w:eastAsia="zh-CN"/>
        </w:rPr>
        <w:t>：</w:t>
      </w:r>
      <w:r>
        <w:rPr>
          <w:rFonts w:hint="eastAsia" w:ascii="Times New Roman" w:hAnsi="Times New Roman" w:eastAsia="仿宋" w:cs="Times New Roman"/>
          <w:color w:val="auto"/>
          <w:sz w:val="24"/>
          <w:highlight w:val="none"/>
          <w:u w:val="none"/>
          <w:shd w:val="clear" w:color="auto" w:fill="auto"/>
          <w:lang w:val="en-US" w:eastAsia="zh-CN"/>
        </w:rPr>
        <w:t>分批次验收。</w:t>
      </w:r>
    </w:p>
    <w:p w14:paraId="4B26F91A">
      <w:pPr>
        <w:ind w:firstLine="482" w:firstLineChars="200"/>
      </w:pPr>
      <w:r>
        <w:rPr>
          <w:rFonts w:hint="eastAsia" w:eastAsia="仿宋" w:cs="Times New Roman"/>
          <w:b/>
          <w:bCs/>
          <w:color w:val="auto"/>
          <w:sz w:val="24"/>
          <w:highlight w:val="none"/>
          <w:u w:val="none"/>
          <w:shd w:val="clear" w:color="auto" w:fill="auto"/>
          <w:lang w:val="en-US" w:eastAsia="zh-CN"/>
        </w:rPr>
        <w:t>五、</w:t>
      </w:r>
      <w:r>
        <w:rPr>
          <w:rFonts w:hint="default" w:ascii="Times New Roman" w:hAnsi="Times New Roman" w:eastAsia="仿宋" w:cs="Times New Roman"/>
          <w:b/>
          <w:bCs/>
          <w:color w:val="auto"/>
          <w:sz w:val="24"/>
          <w:highlight w:val="none"/>
          <w:u w:val="none"/>
          <w:shd w:val="clear" w:color="auto" w:fill="auto"/>
        </w:rPr>
        <w:t>履约验收时间：</w:t>
      </w:r>
      <w:r>
        <w:rPr>
          <w:rFonts w:hint="default" w:ascii="Times New Roman" w:hAnsi="Times New Roman" w:eastAsia="仿宋" w:cs="Times New Roman"/>
          <w:color w:val="auto"/>
          <w:sz w:val="24"/>
          <w:highlight w:val="none"/>
          <w:u w:val="none"/>
          <w:shd w:val="clear" w:color="auto" w:fill="auto"/>
          <w:lang w:val="en-US" w:eastAsia="zh-CN"/>
        </w:rPr>
        <w:t>合同期限内，根据采购人要求分批次送货，完成送货、验收入库视为验收完成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88A64C7"/>
    <w:rsid w:val="4DA25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3776</Words>
  <Characters>3884</Characters>
  <Lines>0</Lines>
  <Paragraphs>0</Paragraphs>
  <TotalTime>0</TotalTime>
  <ScaleCrop>false</ScaleCrop>
  <LinksUpToDate>false</LinksUpToDate>
  <CharactersWithSpaces>3891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耗奇害死猫</cp:lastModifiedBy>
  <dcterms:modified xsi:type="dcterms:W3CDTF">2025-01-21T09:09:18Z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eyJoZGlkIjoiN2JmZjZlOTFmOTM2NjcxYTkzODQyNWU1YjVjMmI1MTgiLCJ1c2VySWQiOiIxMTM0NzgwMzU2In0=</vt:lpwstr>
  </property>
  <property fmtid="{D5CDD505-2E9C-101B-9397-08002B2CF9AE}" pid="4" name="ICV">
    <vt:lpwstr>7F6BC343DF694811A4735ED4F57E705F_13</vt:lpwstr>
  </property>
</Properties>
</file>