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CD820">
      <w:pPr>
        <w:jc w:val="center"/>
        <w:rPr>
          <w:rFonts w:hint="default"/>
          <w:b/>
          <w:bCs/>
          <w:sz w:val="22"/>
          <w:szCs w:val="28"/>
          <w:lang w:val="en-US"/>
        </w:rPr>
      </w:pPr>
      <w:bookmarkStart w:id="1" w:name="_GoBack"/>
      <w:bookmarkEnd w:id="1"/>
      <w:r>
        <w:rPr>
          <w:rFonts w:hint="eastAsia" w:ascii="仿宋" w:hAnsi="仿宋" w:eastAsia="仿宋" w:cs="仿宋"/>
          <w:b/>
          <w:bCs/>
          <w:sz w:val="28"/>
          <w:szCs w:val="28"/>
          <w:highlight w:val="none"/>
          <w:lang w:val="en-US" w:eastAsia="zh-CN"/>
        </w:rPr>
        <w:t>内江市第一人民医院2025年栓塞保护器等介入耗材一批采购项目（二次）采购需求</w:t>
      </w:r>
    </w:p>
    <w:p w14:paraId="0FAAAECB">
      <w:pPr>
        <w:pStyle w:val="4"/>
        <w:bidi w:val="0"/>
        <w:rPr>
          <w:rFonts w:hint="eastAsia"/>
        </w:rPr>
      </w:pPr>
      <w:bookmarkStart w:id="0" w:name="_Toc6007"/>
      <w:r>
        <w:rPr>
          <w:rFonts w:hint="eastAsia"/>
        </w:rPr>
        <w:t>第三章 技术、服务及其他要求</w:t>
      </w:r>
      <w:bookmarkEnd w:id="0"/>
    </w:p>
    <w:p w14:paraId="3F033E3F">
      <w:pPr>
        <w:pStyle w:val="15"/>
        <w:ind w:firstLine="480"/>
        <w:jc w:val="left"/>
        <w:rPr>
          <w:rFonts w:hint="eastAsia" w:ascii="仿宋" w:hAnsi="仿宋" w:eastAsia="仿宋" w:cs="仿宋"/>
          <w:sz w:val="22"/>
          <w:szCs w:val="22"/>
          <w:highlight w:val="none"/>
        </w:rPr>
      </w:pPr>
      <w:r>
        <w:rPr>
          <w:rFonts w:hint="eastAsia" w:ascii="仿宋" w:hAnsi="仿宋" w:eastAsia="仿宋" w:cs="仿宋"/>
          <w:sz w:val="22"/>
          <w:szCs w:val="22"/>
        </w:rPr>
        <w:t>（注：本章的</w:t>
      </w:r>
      <w:r>
        <w:rPr>
          <w:rFonts w:hint="eastAsia" w:ascii="仿宋" w:hAnsi="仿宋" w:eastAsia="仿宋" w:cs="仿宋"/>
          <w:sz w:val="22"/>
          <w:szCs w:val="22"/>
          <w:highlight w:val="none"/>
        </w:rPr>
        <w:t>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2ACDFC88">
      <w:pPr>
        <w:pStyle w:val="15"/>
        <w:jc w:val="left"/>
        <w:outlineLvl w:val="9"/>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3FA55479">
      <w:pPr>
        <w:pStyle w:val="15"/>
        <w:ind w:firstLine="480"/>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本项目提供的产品，必须为“四川省药品和医用耗材招采管理系统”中已挂网产品（不含正在挂网和备案的产品）。</w:t>
      </w:r>
    </w:p>
    <w:tbl>
      <w:tblPr>
        <w:tblStyle w:val="11"/>
        <w:tblW w:w="937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26"/>
        <w:gridCol w:w="877"/>
        <w:gridCol w:w="1417"/>
        <w:gridCol w:w="1477"/>
        <w:gridCol w:w="1863"/>
        <w:gridCol w:w="1402"/>
        <w:gridCol w:w="1710"/>
      </w:tblGrid>
      <w:tr w14:paraId="07AA2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4" w:hRule="atLeast"/>
          <w:jc w:val="center"/>
        </w:trPr>
        <w:tc>
          <w:tcPr>
            <w:tcW w:w="626" w:type="dxa"/>
            <w:vAlign w:val="center"/>
          </w:tcPr>
          <w:p w14:paraId="11A3B1FC">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包号</w:t>
            </w:r>
          </w:p>
        </w:tc>
        <w:tc>
          <w:tcPr>
            <w:tcW w:w="877" w:type="dxa"/>
            <w:vAlign w:val="center"/>
          </w:tcPr>
          <w:p w14:paraId="0B05AC6F">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编号</w:t>
            </w:r>
          </w:p>
        </w:tc>
        <w:tc>
          <w:tcPr>
            <w:tcW w:w="1417" w:type="dxa"/>
            <w:vAlign w:val="center"/>
          </w:tcPr>
          <w:p w14:paraId="2D830F53">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1477" w:type="dxa"/>
            <w:vAlign w:val="center"/>
          </w:tcPr>
          <w:p w14:paraId="51868ADA">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★单价限价（元）</w:t>
            </w:r>
          </w:p>
        </w:tc>
        <w:tc>
          <w:tcPr>
            <w:tcW w:w="1863" w:type="dxa"/>
            <w:vAlign w:val="center"/>
          </w:tcPr>
          <w:p w14:paraId="0C265441">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预计</w:t>
            </w:r>
            <w:r>
              <w:rPr>
                <w:rFonts w:hint="default" w:ascii="仿宋" w:hAnsi="仿宋" w:eastAsia="仿宋" w:cs="仿宋"/>
                <w:b/>
                <w:bCs/>
                <w:sz w:val="22"/>
                <w:szCs w:val="22"/>
                <w:lang w:val="en-US" w:eastAsia="zh-CN"/>
              </w:rPr>
              <w:t>数量</w:t>
            </w:r>
          </w:p>
        </w:tc>
        <w:tc>
          <w:tcPr>
            <w:tcW w:w="1402" w:type="dxa"/>
            <w:vAlign w:val="center"/>
          </w:tcPr>
          <w:p w14:paraId="769BF25C">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★计量单位</w:t>
            </w:r>
          </w:p>
        </w:tc>
        <w:tc>
          <w:tcPr>
            <w:tcW w:w="1710" w:type="dxa"/>
            <w:vAlign w:val="center"/>
          </w:tcPr>
          <w:p w14:paraId="03E4CF09">
            <w:pPr>
              <w:pStyle w:val="15"/>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★预算金额（元）</w:t>
            </w:r>
          </w:p>
        </w:tc>
      </w:tr>
      <w:tr w14:paraId="5A39B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26" w:type="dxa"/>
            <w:vAlign w:val="center"/>
          </w:tcPr>
          <w:p w14:paraId="24553219">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877" w:type="dxa"/>
            <w:vAlign w:val="center"/>
          </w:tcPr>
          <w:p w14:paraId="5BEAE7F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default" w:ascii="仿宋" w:hAnsi="仿宋" w:eastAsia="仿宋" w:cs="仿宋"/>
                <w:sz w:val="22"/>
                <w:szCs w:val="22"/>
                <w:lang w:val="en-US" w:eastAsia="zh-CN"/>
              </w:rPr>
              <w:t>1-1</w:t>
            </w:r>
          </w:p>
        </w:tc>
        <w:tc>
          <w:tcPr>
            <w:tcW w:w="1417" w:type="dxa"/>
            <w:vAlign w:val="center"/>
          </w:tcPr>
          <w:p w14:paraId="0C5267B8">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栓塞保护器</w:t>
            </w:r>
          </w:p>
        </w:tc>
        <w:tc>
          <w:tcPr>
            <w:tcW w:w="1477" w:type="dxa"/>
            <w:vAlign w:val="center"/>
          </w:tcPr>
          <w:p w14:paraId="6DAD3E56">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14000</w:t>
            </w:r>
          </w:p>
        </w:tc>
        <w:tc>
          <w:tcPr>
            <w:tcW w:w="1863" w:type="dxa"/>
            <w:vAlign w:val="center"/>
          </w:tcPr>
          <w:p w14:paraId="64EAB15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02" w:type="dxa"/>
            <w:vAlign w:val="center"/>
          </w:tcPr>
          <w:p w14:paraId="4FA9EA5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45E1402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6E3124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26" w:type="dxa"/>
            <w:vAlign w:val="center"/>
          </w:tcPr>
          <w:p w14:paraId="701C82F1">
            <w:pPr>
              <w:pStyle w:val="15"/>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877" w:type="dxa"/>
            <w:vAlign w:val="center"/>
          </w:tcPr>
          <w:p w14:paraId="0494E8E9">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1417" w:type="dxa"/>
            <w:vAlign w:val="center"/>
          </w:tcPr>
          <w:p w14:paraId="41CAEEFB">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颈动脉支架</w:t>
            </w:r>
          </w:p>
        </w:tc>
        <w:tc>
          <w:tcPr>
            <w:tcW w:w="1477" w:type="dxa"/>
            <w:vAlign w:val="center"/>
          </w:tcPr>
          <w:p w14:paraId="6DA81DB7">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10285</w:t>
            </w:r>
          </w:p>
        </w:tc>
        <w:tc>
          <w:tcPr>
            <w:tcW w:w="1863" w:type="dxa"/>
            <w:vAlign w:val="center"/>
          </w:tcPr>
          <w:p w14:paraId="0EDC5666">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02" w:type="dxa"/>
            <w:vAlign w:val="center"/>
          </w:tcPr>
          <w:p w14:paraId="4E8785FB">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03ABE89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176EA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26" w:type="dxa"/>
            <w:vAlign w:val="center"/>
          </w:tcPr>
          <w:p w14:paraId="6533184E">
            <w:pPr>
              <w:pStyle w:val="15"/>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877" w:type="dxa"/>
            <w:vAlign w:val="center"/>
          </w:tcPr>
          <w:p w14:paraId="6FFF8FB2">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1-3</w:t>
            </w:r>
          </w:p>
        </w:tc>
        <w:tc>
          <w:tcPr>
            <w:tcW w:w="1417" w:type="dxa"/>
            <w:vAlign w:val="center"/>
          </w:tcPr>
          <w:p w14:paraId="7676E952">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中间导引导管</w:t>
            </w:r>
          </w:p>
        </w:tc>
        <w:tc>
          <w:tcPr>
            <w:tcW w:w="1477" w:type="dxa"/>
            <w:vAlign w:val="center"/>
          </w:tcPr>
          <w:p w14:paraId="16B2873E">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default" w:ascii="仿宋" w:hAnsi="仿宋" w:eastAsia="仿宋" w:cs="仿宋"/>
                <w:sz w:val="22"/>
                <w:szCs w:val="22"/>
                <w:lang w:val="en-US" w:eastAsia="zh-CN"/>
              </w:rPr>
              <w:t>9500</w:t>
            </w:r>
          </w:p>
        </w:tc>
        <w:tc>
          <w:tcPr>
            <w:tcW w:w="1863" w:type="dxa"/>
            <w:vAlign w:val="center"/>
          </w:tcPr>
          <w:p w14:paraId="48DE6E1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02" w:type="dxa"/>
            <w:vAlign w:val="center"/>
          </w:tcPr>
          <w:p w14:paraId="533AC9B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608915C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20190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26" w:type="dxa"/>
            <w:vAlign w:val="center"/>
          </w:tcPr>
          <w:p w14:paraId="79D65A2A">
            <w:pPr>
              <w:pStyle w:val="15"/>
              <w:keepNext w:val="0"/>
              <w:keepLines w:val="0"/>
              <w:widowControl/>
              <w:suppressLineNumbers w:val="0"/>
              <w:spacing w:before="0" w:beforeAutospacing="0" w:after="0" w:afterAutospacing="0"/>
              <w:ind w:left="0" w:leftChars="0" w:right="0" w:rightChars="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877" w:type="dxa"/>
            <w:vAlign w:val="center"/>
          </w:tcPr>
          <w:p w14:paraId="7D02D338">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1-4</w:t>
            </w:r>
          </w:p>
        </w:tc>
        <w:tc>
          <w:tcPr>
            <w:tcW w:w="1417" w:type="dxa"/>
            <w:vAlign w:val="center"/>
          </w:tcPr>
          <w:p w14:paraId="7C005ADB">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血管内通路导管系统</w:t>
            </w:r>
          </w:p>
        </w:tc>
        <w:tc>
          <w:tcPr>
            <w:tcW w:w="1477" w:type="dxa"/>
            <w:vAlign w:val="center"/>
          </w:tcPr>
          <w:p w14:paraId="175972F7">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default" w:ascii="仿宋" w:hAnsi="仿宋" w:eastAsia="仿宋" w:cs="仿宋"/>
                <w:sz w:val="22"/>
                <w:szCs w:val="22"/>
                <w:lang w:val="en-US" w:eastAsia="zh-CN"/>
              </w:rPr>
              <w:t>14500</w:t>
            </w:r>
          </w:p>
        </w:tc>
        <w:tc>
          <w:tcPr>
            <w:tcW w:w="1863" w:type="dxa"/>
            <w:vAlign w:val="center"/>
          </w:tcPr>
          <w:p w14:paraId="739E87B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402" w:type="dxa"/>
            <w:vAlign w:val="center"/>
          </w:tcPr>
          <w:p w14:paraId="289709E6">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6952123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bl>
    <w:p w14:paraId="63C44428">
      <w:pPr>
        <w:pStyle w:val="15"/>
        <w:ind w:firstLine="480"/>
        <w:jc w:val="left"/>
        <w:rPr>
          <w:rFonts w:hint="eastAsia" w:ascii="仿宋" w:hAnsi="仿宋" w:eastAsia="仿宋" w:cs="仿宋"/>
          <w:b/>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6031C5D8">
      <w:pPr>
        <w:pStyle w:val="15"/>
        <w:jc w:val="left"/>
        <w:outlineLvl w:val="9"/>
        <w:rPr>
          <w:rFonts w:hint="eastAsia" w:ascii="仿宋" w:hAnsi="仿宋" w:eastAsia="仿宋" w:cs="仿宋"/>
          <w:b/>
          <w:sz w:val="28"/>
          <w:highlight w:val="none"/>
        </w:rPr>
      </w:pPr>
      <w:r>
        <w:rPr>
          <w:rFonts w:hint="eastAsia" w:ascii="仿宋" w:hAnsi="仿宋" w:eastAsia="仿宋" w:cs="仿宋"/>
          <w:b/>
          <w:sz w:val="28"/>
          <w:highlight w:val="none"/>
        </w:rPr>
        <w:t>3.2.技术要求</w:t>
      </w:r>
    </w:p>
    <w:tbl>
      <w:tblPr>
        <w:tblStyle w:val="11"/>
        <w:tblW w:w="92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73"/>
        <w:gridCol w:w="800"/>
        <w:gridCol w:w="1103"/>
        <w:gridCol w:w="3130"/>
        <w:gridCol w:w="3633"/>
      </w:tblGrid>
      <w:tr w14:paraId="3B4FB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573" w:type="dxa"/>
            <w:vAlign w:val="center"/>
          </w:tcPr>
          <w:p w14:paraId="4FD47280">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rPr>
              <w:t>序号</w:t>
            </w:r>
          </w:p>
        </w:tc>
        <w:tc>
          <w:tcPr>
            <w:tcW w:w="800" w:type="dxa"/>
            <w:vAlign w:val="center"/>
          </w:tcPr>
          <w:p w14:paraId="1912D90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lang w:val="en-US" w:eastAsia="zh-CN"/>
              </w:rPr>
              <w:t>名称</w:t>
            </w:r>
          </w:p>
        </w:tc>
        <w:tc>
          <w:tcPr>
            <w:tcW w:w="1103" w:type="dxa"/>
            <w:vAlign w:val="center"/>
          </w:tcPr>
          <w:p w14:paraId="5FB139BF">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b w:val="0"/>
                <w:bCs w:val="0"/>
                <w:color w:val="auto"/>
                <w:kern w:val="2"/>
                <w:sz w:val="24"/>
                <w:szCs w:val="24"/>
                <w:highlight w:val="none"/>
                <w:shd w:val="clear" w:color="auto" w:fill="auto"/>
                <w:lang w:val="en-US" w:eastAsia="zh-CN" w:bidi="ar-SA"/>
              </w:rPr>
              <w:t>★</w:t>
            </w:r>
            <w:r>
              <w:rPr>
                <w:rFonts w:hint="eastAsia" w:ascii="仿宋" w:hAnsi="仿宋" w:eastAsia="仿宋" w:cs="仿宋"/>
                <w:sz w:val="22"/>
                <w:szCs w:val="22"/>
                <w:lang w:val="en-US" w:eastAsia="zh-CN"/>
              </w:rPr>
              <w:t>医保耗材代码</w:t>
            </w:r>
          </w:p>
        </w:tc>
        <w:tc>
          <w:tcPr>
            <w:tcW w:w="3130" w:type="dxa"/>
            <w:vAlign w:val="center"/>
          </w:tcPr>
          <w:p w14:paraId="37DC301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用途</w:t>
            </w:r>
          </w:p>
        </w:tc>
        <w:tc>
          <w:tcPr>
            <w:tcW w:w="3633" w:type="dxa"/>
            <w:vAlign w:val="center"/>
          </w:tcPr>
          <w:p w14:paraId="0C90B8E8">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参考型号</w:t>
            </w:r>
          </w:p>
        </w:tc>
      </w:tr>
      <w:tr w14:paraId="52524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573" w:type="dxa"/>
            <w:vAlign w:val="center"/>
          </w:tcPr>
          <w:p w14:paraId="0610D47D">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800" w:type="dxa"/>
            <w:vAlign w:val="center"/>
          </w:tcPr>
          <w:p w14:paraId="2D88C9BE">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栓塞保护器</w:t>
            </w:r>
          </w:p>
          <w:p w14:paraId="14091749">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1103" w:type="dxa"/>
            <w:vAlign w:val="center"/>
          </w:tcPr>
          <w:p w14:paraId="24AE2EDA">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C020646069</w:t>
            </w:r>
          </w:p>
          <w:p w14:paraId="02229FF4">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130" w:type="dxa"/>
            <w:vAlign w:val="center"/>
          </w:tcPr>
          <w:p w14:paraId="7D62A98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颈动脉介入手术中为患者提供尾端栓塞的保护。</w:t>
            </w:r>
          </w:p>
        </w:tc>
        <w:tc>
          <w:tcPr>
            <w:tcW w:w="3633" w:type="dxa"/>
            <w:vAlign w:val="center"/>
          </w:tcPr>
          <w:p w14:paraId="358A9A2F">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颈动脉介入手术中为患者提供尾端栓塞的保护。</w:t>
            </w:r>
          </w:p>
        </w:tc>
      </w:tr>
      <w:tr w14:paraId="333F53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573" w:type="dxa"/>
            <w:vAlign w:val="center"/>
          </w:tcPr>
          <w:p w14:paraId="3F99DA50">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800" w:type="dxa"/>
            <w:vAlign w:val="center"/>
          </w:tcPr>
          <w:p w14:paraId="36D21D12">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颈动脉支架</w:t>
            </w:r>
          </w:p>
          <w:p w14:paraId="1700EFD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1103" w:type="dxa"/>
            <w:vAlign w:val="center"/>
          </w:tcPr>
          <w:p w14:paraId="58C0EB0A">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C020601001</w:t>
            </w:r>
          </w:p>
          <w:p w14:paraId="51892DE9">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130" w:type="dxa"/>
            <w:vAlign w:val="center"/>
          </w:tcPr>
          <w:p w14:paraId="2FE5995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适用于需要经皮颈动脉血运重建且存在颈动脉内膜剥脱术不良事件高风险，并且符合以下条件：（1）颈总动脉或颈内动脉狭窄（症状性患者经过超声或者血管造影≥50%或无症状患者经过超声或血管造影≥80%），且（2）患者的靶病变处血管直径须在4.5mm到9.5mm的范围内；</w:t>
            </w:r>
          </w:p>
          <w:p w14:paraId="71241075">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633" w:type="dxa"/>
            <w:vAlign w:val="center"/>
          </w:tcPr>
          <w:p w14:paraId="4C7EF8E6">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自膨式开环支架，支架有锥型和直筒型两种型号。</w:t>
            </w:r>
          </w:p>
          <w:p w14:paraId="2C42F782">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r>
      <w:tr w14:paraId="0C101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3A69248C">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800" w:type="dxa"/>
            <w:vAlign w:val="center"/>
          </w:tcPr>
          <w:p w14:paraId="5E4AE9E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中间导引导管</w:t>
            </w:r>
          </w:p>
          <w:p w14:paraId="30FC9AF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1103" w:type="dxa"/>
            <w:vAlign w:val="center"/>
          </w:tcPr>
          <w:p w14:paraId="59B6A1E1">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C020505004</w:t>
            </w:r>
          </w:p>
          <w:p w14:paraId="203455AD">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130" w:type="dxa"/>
            <w:vAlign w:val="center"/>
          </w:tcPr>
          <w:p w14:paraId="6803162E">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用于将介入器械或诊断器械引入外周血管系统和神经血管系统。；</w:t>
            </w:r>
          </w:p>
          <w:p w14:paraId="0916B588">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3.参考型号：由导管鞘和扩张器组成，包含072和088两种管腔直径，导管头端有直型和预弯型两种型号。</w:t>
            </w:r>
          </w:p>
        </w:tc>
        <w:tc>
          <w:tcPr>
            <w:tcW w:w="3633" w:type="dxa"/>
            <w:vAlign w:val="center"/>
          </w:tcPr>
          <w:p w14:paraId="7034C230">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r>
      <w:tr w14:paraId="0E3C0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47534D7B">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w:t>
            </w:r>
          </w:p>
        </w:tc>
        <w:tc>
          <w:tcPr>
            <w:tcW w:w="800" w:type="dxa"/>
            <w:vAlign w:val="center"/>
          </w:tcPr>
          <w:p w14:paraId="2D0BF498">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血管内通路导管系统</w:t>
            </w:r>
          </w:p>
          <w:p w14:paraId="4D7A97B7">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1103" w:type="dxa"/>
            <w:vAlign w:val="center"/>
          </w:tcPr>
          <w:p w14:paraId="32648BBA">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C020505004</w:t>
            </w:r>
          </w:p>
          <w:p w14:paraId="747EAC03">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130" w:type="dxa"/>
            <w:vAlign w:val="center"/>
          </w:tcPr>
          <w:p w14:paraId="4B4CD1F8">
            <w:pPr>
              <w:pStyle w:val="15"/>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用于在神经血管导管中将介入/诊断器械导入血管内。</w:t>
            </w:r>
          </w:p>
          <w:p w14:paraId="5B04514F">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c>
          <w:tcPr>
            <w:tcW w:w="3633" w:type="dxa"/>
            <w:vAlign w:val="center"/>
          </w:tcPr>
          <w:p w14:paraId="148209A7">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有088/071/065/060/055英寸的多种管径，长度导管头端含亲水涂层。</w:t>
            </w:r>
          </w:p>
          <w:p w14:paraId="249BBC36">
            <w:pPr>
              <w:pStyle w:val="15"/>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p>
        </w:tc>
      </w:tr>
    </w:tbl>
    <w:p w14:paraId="5FD324A7">
      <w:pPr>
        <w:pStyle w:val="15"/>
        <w:ind w:firstLine="440" w:firstLineChars="200"/>
        <w:jc w:val="left"/>
        <w:outlineLvl w:val="9"/>
        <w:rPr>
          <w:rFonts w:hint="eastAsia" w:ascii="仿宋" w:hAnsi="仿宋" w:eastAsia="仿宋" w:cs="仿宋"/>
          <w:b/>
          <w:sz w:val="28"/>
          <w:highlight w:val="none"/>
          <w:lang w:eastAsia="zh-CN"/>
        </w:rPr>
      </w:pPr>
      <w:r>
        <w:rPr>
          <w:rFonts w:hint="eastAsia" w:ascii="仿宋" w:hAnsi="仿宋" w:eastAsia="仿宋" w:cs="仿宋"/>
          <w:color w:val="000000"/>
          <w:sz w:val="22"/>
          <w:szCs w:val="22"/>
          <w:highlight w:val="none"/>
          <w:lang w:val="en-US" w:eastAsia="zh-CN"/>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7ABD556">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74CF79D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27083F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本项目所有标的均须提供挂网产品。</w:t>
      </w:r>
    </w:p>
    <w:p w14:paraId="682CD9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注：本项目中所指“挂网产品”，为“四川省药品和医用耗材招采管理系统”中已挂网产品（不含正在挂网和备案的产品）。</w:t>
      </w:r>
    </w:p>
    <w:p w14:paraId="2CFC5D3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5700AB25">
      <w:pPr>
        <w:spacing w:line="24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1.必须提供样品，以供评审专家现场评审。</w:t>
      </w:r>
    </w:p>
    <w:p w14:paraId="59BE503A">
      <w:pPr>
        <w:spacing w:line="24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2.提交的样品不符合实际需求或存在原理错误则视为无效响应。</w:t>
      </w:r>
    </w:p>
    <w:p w14:paraId="3B7F43E7">
      <w:pPr>
        <w:spacing w:line="24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3.本项目投标人提供的样品，应与该投标人响应文件保持一致（具体参考《医疗器械说明书和标签管理规定》）。</w:t>
      </w:r>
    </w:p>
    <w:p w14:paraId="210C572B">
      <w:pPr>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注：挂网产品价格需满足平台相关要求，包括但不限于：报价不高于“截止上月月末全省医疗机构采购加权平均价、我省最高参考价、联动参考价”。</w:t>
      </w:r>
    </w:p>
    <w:p w14:paraId="737280C2">
      <w:pPr>
        <w:spacing w:line="240" w:lineRule="auto"/>
        <w:jc w:val="left"/>
        <w:textAlignment w:val="center"/>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3784AB50">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1.交货期及地点</w:t>
      </w:r>
    </w:p>
    <w:p w14:paraId="3478CF61">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4B973819">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sz w:val="22"/>
          <w:szCs w:val="22"/>
          <w:highlight w:val="none"/>
          <w:lang w:val="en-US" w:eastAsia="zh-CN"/>
        </w:rPr>
      </w:pPr>
      <w:r>
        <w:rPr>
          <w:rFonts w:hint="eastAsia" w:ascii="仿宋" w:hAnsi="仿宋" w:eastAsia="仿宋" w:cs="仿宋"/>
          <w:color w:val="000000"/>
          <w:kern w:val="2"/>
          <w:sz w:val="22"/>
          <w:szCs w:val="22"/>
          <w:lang w:val="en-US" w:eastAsia="zh-CN" w:bidi="ar"/>
        </w:rPr>
        <w:t>（2）交货地点：内江市第一人民医院指定地点。</w:t>
      </w:r>
    </w:p>
    <w:p w14:paraId="64492A86">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2.付款方法和条件</w:t>
      </w:r>
    </w:p>
    <w:p w14:paraId="3E308FC9">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b w:val="0"/>
          <w:bCs w:val="0"/>
          <w:color w:val="000000"/>
          <w:kern w:val="2"/>
          <w:sz w:val="22"/>
          <w:szCs w:val="22"/>
        </w:rPr>
      </w:pPr>
      <w:r>
        <w:rPr>
          <w:rFonts w:hint="eastAsia" w:ascii="仿宋" w:hAnsi="仿宋" w:eastAsia="仿宋" w:cs="仿宋"/>
          <w:b w:val="0"/>
          <w:bCs w:val="0"/>
          <w:color w:val="000000"/>
          <w:kern w:val="2"/>
          <w:sz w:val="22"/>
          <w:szCs w:val="22"/>
          <w:lang w:val="en-US" w:eastAsia="zh-CN" w:bidi="ar"/>
        </w:rPr>
        <w:t>（1）结算方式：货款按实结算且由双方协商决定。</w:t>
      </w:r>
    </w:p>
    <w:p w14:paraId="491B8148">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b w:val="0"/>
          <w:bCs w:val="0"/>
          <w:color w:val="000000"/>
          <w:kern w:val="2"/>
          <w:sz w:val="22"/>
          <w:szCs w:val="22"/>
        </w:rPr>
      </w:pPr>
      <w:r>
        <w:rPr>
          <w:rFonts w:hint="eastAsia" w:ascii="仿宋" w:hAnsi="仿宋" w:eastAsia="仿宋" w:cs="仿宋"/>
          <w:b w:val="0"/>
          <w:bCs w:val="0"/>
          <w:color w:val="000000"/>
          <w:kern w:val="2"/>
          <w:sz w:val="22"/>
          <w:szCs w:val="22"/>
          <w:lang w:val="en-US" w:eastAsia="zh-CN" w:bidi="ar"/>
        </w:rPr>
        <w:t>（2）成交价格包含成本、运输、包装、培训、配送、伴随服务、税费及其他附加费用。</w:t>
      </w:r>
    </w:p>
    <w:p w14:paraId="56C1A21D">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3.医用耗材质量保证</w:t>
      </w:r>
    </w:p>
    <w:p w14:paraId="027546FE">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（1）中标人须提供原厂生产的未曾使用过的、全新的合格的货品（含配套配件等），表面无划伤、无破损痕迹，且权属清楚，不得侵害他人的合法权利。</w:t>
      </w:r>
    </w:p>
    <w:p w14:paraId="09397713">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1E355813">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18E5D9A4">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（4）中标人保证其提供货品的安全可靠性。在正常使用下不应对使用者造成任何人身伤害，如因产品质量或标示不明确而对使用者造成损失的，由中标人承担相应责任。</w:t>
      </w:r>
    </w:p>
    <w:p w14:paraId="24C6DAB5">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74CB283B">
      <w:pPr>
        <w:keepNext w:val="0"/>
        <w:keepLines w:val="0"/>
        <w:widowControl w:val="0"/>
        <w:suppressLineNumbers w:val="0"/>
        <w:spacing w:before="0" w:beforeAutospacing="0" w:after="0" w:afterAutospacing="0"/>
        <w:ind w:left="0" w:right="0"/>
        <w:jc w:val="both"/>
      </w:pPr>
      <w:r>
        <w:rPr>
          <w:rFonts w:hint="eastAsia" w:ascii="仿宋" w:hAnsi="仿宋" w:eastAsia="仿宋" w:cs="仿宋"/>
          <w:color w:val="000000"/>
          <w:kern w:val="2"/>
          <w:sz w:val="22"/>
          <w:szCs w:val="22"/>
          <w:lang w:val="en-US" w:eastAsia="zh-CN" w:bidi="ar"/>
        </w:rPr>
        <w:t>（6）中标人保证所供耗材有效期不低于1年，自通过最终验收之日起，确保采购人在使用耗材的过程中安全、有效。</w:t>
      </w:r>
    </w:p>
    <w:p w14:paraId="40B3EA26">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4.验收</w:t>
      </w:r>
    </w:p>
    <w:p w14:paraId="019565DA">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4F352166">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57F48184">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1D39D12E">
      <w:pPr>
        <w:keepNext w:val="0"/>
        <w:keepLines w:val="0"/>
        <w:widowControl w:val="0"/>
        <w:suppressLineNumbers w:val="0"/>
        <w:spacing w:before="0" w:beforeAutospacing="0" w:after="0" w:afterAutospacing="0"/>
        <w:ind w:left="0" w:right="0"/>
        <w:jc w:val="both"/>
      </w:pPr>
      <w:r>
        <w:rPr>
          <w:rFonts w:hint="eastAsia" w:ascii="仿宋" w:hAnsi="仿宋" w:eastAsia="仿宋" w:cs="仿宋"/>
          <w:color w:val="000000"/>
          <w:kern w:val="2"/>
          <w:sz w:val="22"/>
          <w:szCs w:val="22"/>
          <w:lang w:val="en-US" w:eastAsia="zh-CN" w:bidi="ar"/>
        </w:rPr>
        <w:t>（4）其他未尽事宜严格按照《财政部关于进一步加强政府采购需求和履约验收管理的指导意见》（财库〔2016〕205号）的要求进行。</w:t>
      </w:r>
    </w:p>
    <w:p w14:paraId="60153EC1">
      <w:pPr>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2"/>
          <w:szCs w:val="22"/>
          <w:highlight w:val="none"/>
          <w:lang w:val="en-US" w:eastAsia="zh-CN"/>
        </w:rPr>
      </w:pPr>
      <w:r>
        <w:rPr>
          <w:rFonts w:hint="eastAsia" w:ascii="仿宋" w:hAnsi="仿宋" w:eastAsia="仿宋" w:cs="仿宋"/>
          <w:b/>
          <w:bCs/>
          <w:color w:val="000000"/>
          <w:sz w:val="22"/>
          <w:szCs w:val="22"/>
          <w:highlight w:val="none"/>
          <w:lang w:val="en-US" w:eastAsia="zh-CN"/>
        </w:rPr>
        <w:t>5.售后服务</w:t>
      </w:r>
    </w:p>
    <w:p w14:paraId="725F9005">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2078606D">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（2）要求中标人指派专人负责与采购人联系售后服务事宜；在投标文件中列明售后联系人及联系电话。</w:t>
      </w:r>
    </w:p>
    <w:p w14:paraId="33BCA960">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ED72AD5">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（4）耗材临近失效期，采购人提前三个月向中标人提出更换，中标人须在耗材失效前一个月更换完毕，不得以任何理由进行推诿。</w:t>
      </w:r>
    </w:p>
    <w:p w14:paraId="23585EE7">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（5）中标人必须随货提供其具备医疗器械经营企业的有关合法有效的手续（包括但不限于）：</w:t>
      </w:r>
    </w:p>
    <w:p w14:paraId="025158C3">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1).产品所涉及逐级授权经销商的医疗器械生产（经营）许可证或生产（经营）企业备案表；</w:t>
      </w:r>
    </w:p>
    <w:p w14:paraId="6070BD6C">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2).医疗器械产品注册证或备案凭证；</w:t>
      </w:r>
    </w:p>
    <w:p w14:paraId="3ABF988B">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3).医疗器械生产企业许可证；</w:t>
      </w:r>
    </w:p>
    <w:p w14:paraId="0CCE6A5E">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4).经销商获得的委托授权书（逐级）；</w:t>
      </w:r>
    </w:p>
    <w:p w14:paraId="08729E8B">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5).产品所涉及逐级授权经销商的企业法人营业执照。</w:t>
      </w:r>
    </w:p>
    <w:p w14:paraId="251C41C0">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6).采购人要求提供的相关资料。</w:t>
      </w:r>
    </w:p>
    <w:p w14:paraId="03F7B9AA">
      <w:pPr>
        <w:keepNext w:val="0"/>
        <w:keepLines w:val="0"/>
        <w:widowControl w:val="0"/>
        <w:suppressLineNumbers w:val="0"/>
        <w:spacing w:before="0" w:beforeAutospacing="0" w:after="0" w:afterAutospacing="0"/>
        <w:ind w:left="0" w:right="0"/>
        <w:jc w:val="both"/>
      </w:pPr>
      <w:r>
        <w:rPr>
          <w:rFonts w:hint="eastAsia" w:ascii="仿宋" w:hAnsi="仿宋" w:eastAsia="仿宋" w:cs="仿宋"/>
          <w:color w:val="000000"/>
          <w:kern w:val="2"/>
          <w:sz w:val="22"/>
          <w:szCs w:val="22"/>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70A576D6">
      <w:pPr>
        <w:pStyle w:val="7"/>
        <w:pageBreakBefore w:val="0"/>
        <w:widowControl w:val="0"/>
        <w:kinsoku/>
        <w:wordWrap/>
        <w:overflowPunct/>
        <w:topLinePunct w:val="0"/>
        <w:autoSpaceDE/>
        <w:autoSpaceDN/>
        <w:bidi w:val="0"/>
        <w:adjustRightInd/>
        <w:snapToGrid/>
        <w:spacing w:line="240" w:lineRule="auto"/>
        <w:ind w:firstLine="482"/>
        <w:textAlignment w:val="auto"/>
        <w:rPr>
          <w:rFonts w:ascii="仿宋" w:hAnsi="仿宋" w:eastAsia="仿宋" w:cs="仿宋"/>
          <w:b/>
          <w:color w:val="000000"/>
          <w:sz w:val="22"/>
          <w:szCs w:val="22"/>
          <w:highlight w:val="none"/>
        </w:rPr>
      </w:pPr>
      <w:r>
        <w:rPr>
          <w:rFonts w:hint="eastAsia" w:ascii="仿宋" w:hAnsi="仿宋" w:eastAsia="仿宋" w:cs="仿宋"/>
          <w:b/>
          <w:color w:val="000000"/>
          <w:sz w:val="22"/>
          <w:szCs w:val="22"/>
          <w:highlight w:val="none"/>
          <w:lang w:val="en-US" w:eastAsia="zh-CN"/>
        </w:rPr>
        <w:t>6.</w:t>
      </w:r>
      <w:r>
        <w:rPr>
          <w:rFonts w:hint="eastAsia" w:ascii="仿宋" w:hAnsi="仿宋" w:eastAsia="仿宋" w:cs="仿宋"/>
          <w:b/>
          <w:color w:val="000000"/>
          <w:sz w:val="22"/>
          <w:szCs w:val="22"/>
          <w:highlight w:val="none"/>
          <w:lang w:val="en-US"/>
        </w:rPr>
        <w:t xml:space="preserve">包装和运输 </w:t>
      </w:r>
    </w:p>
    <w:p w14:paraId="3252B4D1">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 xml:space="preserve">（1）成交投标人须严格按照《商品包装政府采购需求标准(试行)》、《快递包装政府采购需 求标准(试行)》(财办库〔2020〕123 号)的要求进行产品及相关快递服务的包装。 </w:t>
      </w:r>
    </w:p>
    <w:p w14:paraId="24767751">
      <w:pPr>
        <w:keepNext w:val="0"/>
        <w:keepLines w:val="0"/>
        <w:widowControl w:val="0"/>
        <w:suppressLineNumbers w:val="0"/>
        <w:autoSpaceDE w:val="0"/>
        <w:autoSpaceDN/>
        <w:spacing w:before="0" w:beforeAutospacing="0" w:after="0" w:afterAutospacing="0" w:line="240" w:lineRule="exact"/>
        <w:ind w:left="0" w:right="0" w:firstLine="420" w:firstLineChars="0"/>
        <w:jc w:val="both"/>
        <w:rPr>
          <w:rFonts w:hint="eastAsia" w:ascii="仿宋" w:hAnsi="仿宋" w:eastAsia="仿宋" w:cs="仿宋"/>
          <w:color w:val="000000"/>
          <w:kern w:val="2"/>
          <w:sz w:val="22"/>
          <w:szCs w:val="22"/>
        </w:rPr>
      </w:pPr>
      <w:r>
        <w:rPr>
          <w:rFonts w:hint="eastAsia" w:ascii="仿宋" w:hAnsi="仿宋" w:eastAsia="仿宋" w:cs="仿宋"/>
          <w:color w:val="000000"/>
          <w:kern w:val="2"/>
          <w:sz w:val="22"/>
          <w:szCs w:val="22"/>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505F7CF3">
      <w:pPr>
        <w:spacing w:line="24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2"/>
          <w:sz w:val="22"/>
          <w:szCs w:val="22"/>
          <w:lang w:val="en-US" w:eastAsia="zh-CN" w:bidi="ar"/>
        </w:rPr>
        <w:t>（3）本次采购的标的物需要运输，投标人在合同约定的时间内将标的物运输至合同约定地点。</w:t>
      </w:r>
    </w:p>
    <w:p w14:paraId="4147F70D">
      <w:pPr>
        <w:pStyle w:val="15"/>
        <w:jc w:val="left"/>
        <w:outlineLvl w:val="9"/>
        <w:rPr>
          <w:rFonts w:hint="eastAsia" w:ascii="仿宋" w:hAnsi="仿宋" w:eastAsia="仿宋" w:cs="仿宋"/>
          <w:highlight w:val="none"/>
        </w:rPr>
      </w:pPr>
      <w:r>
        <w:rPr>
          <w:rFonts w:hint="eastAsia" w:ascii="仿宋" w:hAnsi="仿宋" w:eastAsia="仿宋" w:cs="仿宋"/>
          <w:b/>
          <w:sz w:val="28"/>
          <w:highlight w:val="none"/>
        </w:rPr>
        <w:t>3.4.其他要求</w:t>
      </w:r>
    </w:p>
    <w:p w14:paraId="52132930">
      <w:pPr>
        <w:pStyle w:val="1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1.违约责任与解决争议的方法：</w:t>
      </w:r>
    </w:p>
    <w:p w14:paraId="11793041">
      <w:pPr>
        <w:pStyle w:val="1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1.1违约责任</w:t>
      </w:r>
    </w:p>
    <w:p w14:paraId="2002B94F">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1、中标人逾期15日内不能提供采购人所需医用耗材的，应向采购人每日支付该批次货款千分之三的违约金。</w:t>
      </w:r>
    </w:p>
    <w:p w14:paraId="7AA730B1">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2、中标人逾期15日及以上不能交付以上产品的，视同不能供货，须向采购人支付该批次货款的10%的违约金，同时采购人可以单方面解除采购合同。</w:t>
      </w:r>
    </w:p>
    <w:p w14:paraId="40AB589B">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3、若因中标人原因造成采购人被监管部门通报三次及以上的或者造成采购人违规采购，采购人有权单方面解除采购合同。同时，采购人有权要求中标人支付该批货物价款20%的违约金。</w:t>
      </w:r>
    </w:p>
    <w:p w14:paraId="64AC14DC">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承补足。</w:t>
      </w:r>
    </w:p>
    <w:p w14:paraId="2F3988C7">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即使产品已经验收入库（或安装调试完毕）后，采购人才发现产品为不合格产品的，也视为中标人违约，中标人应当承担本条约定的责任。同时采购人有权退回库存产品。</w:t>
      </w:r>
    </w:p>
    <w:p w14:paraId="21E1F406">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5、若根据法律规定或本协议约定产生采购人退、换货或拒绝收货情形，由中标人承担退换货产生的各项税、费或其他支出。</w:t>
      </w:r>
    </w:p>
    <w:p w14:paraId="0F75C475">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6、中标人不能保证及时供货，除应当向采购人承担违约责任外，采购人仍有权单方面解除采购合同。</w:t>
      </w:r>
    </w:p>
    <w:p w14:paraId="66CF3BB0">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7、因中标人提供的产品不合格造成采购人或第三人人身损害或财产损失的，由中标人承担赔偿责任。</w:t>
      </w:r>
    </w:p>
    <w:p w14:paraId="42F07485">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8、</w:t>
      </w:r>
      <w:r>
        <w:rPr>
          <w:rFonts w:hint="eastAsia" w:ascii="仿宋" w:hAnsi="仿宋" w:eastAsia="仿宋" w:cs="仿宋"/>
          <w:color w:val="000000"/>
          <w:kern w:val="0"/>
          <w:sz w:val="22"/>
          <w:szCs w:val="22"/>
          <w:highlight w:val="none"/>
          <w:u w:val="none"/>
          <w:lang w:val="en-US" w:eastAsia="zh-CN" w:bidi="ar"/>
        </w:rPr>
        <w:tab/>
      </w:r>
      <w:r>
        <w:rPr>
          <w:rFonts w:hint="eastAsia" w:ascii="仿宋" w:hAnsi="仿宋" w:eastAsia="仿宋" w:cs="仿宋"/>
          <w:color w:val="000000"/>
          <w:kern w:val="0"/>
          <w:sz w:val="22"/>
          <w:szCs w:val="22"/>
          <w:highlight w:val="none"/>
          <w:u w:val="none"/>
          <w:lang w:val="en-US" w:eastAsia="zh-CN" w:bidi="ar"/>
        </w:rPr>
        <w:t>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267D50A3">
      <w:pPr>
        <w:pStyle w:val="1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1.2解决合同纠纷的方式</w:t>
      </w:r>
    </w:p>
    <w:p w14:paraId="3E65463D">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1、因货物的质量问题发生的争议，由法定质量鉴定机构或其认可的质量鉴定机构进行质量鉴定。货物符合标准的，鉴定费由采购人承担；货物不符合质量标准的，鉴定费由中标人承担。</w:t>
      </w:r>
    </w:p>
    <w:p w14:paraId="208D8ED5">
      <w:pPr>
        <w:pStyle w:val="15"/>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2、合同履行期间，若双方发生争议，可协商或由有关部门调解解决，协商或调解不成的，可向采购人所在地人民法院依法提起诉讼。</w:t>
      </w:r>
    </w:p>
    <w:p w14:paraId="24982B80">
      <w:pPr>
        <w:pStyle w:val="15"/>
        <w:ind w:firstLine="480"/>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eastAsia" w:ascii="仿宋" w:hAnsi="仿宋" w:eastAsia="仿宋" w:cs="仿宋"/>
          <w:b/>
          <w:bCs/>
          <w:color w:val="auto"/>
          <w:sz w:val="24"/>
          <w:szCs w:val="24"/>
          <w:highlight w:val="none"/>
          <w:shd w:val="clear" w:color="auto" w:fill="auto"/>
        </w:rPr>
        <w:t>履行期限</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lang w:val="en-US" w:eastAsia="zh-CN"/>
        </w:rPr>
        <w:t>年；</w:t>
      </w:r>
    </w:p>
    <w:p w14:paraId="38C2BD25">
      <w:pPr>
        <w:pStyle w:val="1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b w:val="0"/>
          <w:bCs w:val="0"/>
          <w:sz w:val="24"/>
          <w:szCs w:val="24"/>
          <w:highlight w:val="none"/>
          <w:lang w:val="en-US" w:eastAsia="zh-CN"/>
        </w:rPr>
        <w:t>双方协商确定。</w:t>
      </w:r>
    </w:p>
    <w:p w14:paraId="572CFB11">
      <w:pPr>
        <w:pStyle w:val="15"/>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4.履约验收程序：</w:t>
      </w:r>
      <w:r>
        <w:rPr>
          <w:rFonts w:hint="eastAsia" w:ascii="仿宋" w:hAnsi="仿宋" w:eastAsia="仿宋" w:cs="仿宋"/>
          <w:b w:val="0"/>
          <w:bCs w:val="0"/>
          <w:sz w:val="24"/>
          <w:szCs w:val="24"/>
          <w:highlight w:val="none"/>
          <w:lang w:val="en-US" w:eastAsia="zh-CN"/>
        </w:rPr>
        <w:t>分批次验收。</w:t>
      </w:r>
    </w:p>
    <w:p w14:paraId="30CDCB5D">
      <w:pPr>
        <w:keepNext w:val="0"/>
        <w:keepLines w:val="0"/>
        <w:pageBreakBefore w:val="0"/>
        <w:kinsoku/>
        <w:wordWrap/>
        <w:overflowPunct/>
        <w:topLinePunct w:val="0"/>
        <w:autoSpaceDE/>
        <w:autoSpaceDN/>
        <w:bidi w:val="0"/>
        <w:adjustRightInd/>
        <w:snapToGrid/>
        <w:spacing w:line="360" w:lineRule="auto"/>
        <w:ind w:left="0" w:leftChars="0" w:firstLine="482" w:firstLineChars="200"/>
        <w:jc w:val="both"/>
        <w:rPr>
          <w:rFonts w:hint="default"/>
          <w:lang w:val="en-US"/>
        </w:rPr>
      </w:pPr>
      <w:r>
        <w:rPr>
          <w:rFonts w:hint="eastAsia" w:ascii="仿宋" w:hAnsi="仿宋" w:eastAsia="仿宋" w:cs="仿宋"/>
          <w:b/>
          <w:bCs/>
          <w:sz w:val="24"/>
          <w:szCs w:val="24"/>
          <w:highlight w:val="none"/>
          <w:lang w:val="en-US" w:eastAsia="zh-CN"/>
        </w:rPr>
        <w:t>5.履约验收时间：</w:t>
      </w:r>
      <w:r>
        <w:rPr>
          <w:rFonts w:hint="eastAsia" w:ascii="仿宋" w:hAnsi="仿宋" w:eastAsia="仿宋" w:cs="仿宋"/>
          <w:b w:val="0"/>
          <w:bCs w:val="0"/>
          <w:sz w:val="24"/>
          <w:szCs w:val="24"/>
          <w:highlight w:val="none"/>
          <w:lang w:val="en-US" w:eastAsia="zh-CN"/>
        </w:rPr>
        <w:t>合同期限内，根据采购人要求分批次送货，完成送货、验收入库视为验收完成。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汉仪粗仿宋简">
    <w:altName w:val="仿宋"/>
    <w:panose1 w:val="02010600000101010101"/>
    <w:charset w:val="86"/>
    <w:family w:val="auto"/>
    <w:pitch w:val="default"/>
    <w:sig w:usb0="00000000" w:usb1="00000000" w:usb2="00000002"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MTNhOTdmNmQ0MWY2MDQ2NmRjOWU3OGRjMTRlY2YifQ=="/>
  </w:docVars>
  <w:rsids>
    <w:rsidRoot w:val="7953607C"/>
    <w:rsid w:val="028F70E4"/>
    <w:rsid w:val="042A0FA8"/>
    <w:rsid w:val="093E0295"/>
    <w:rsid w:val="0AE81C26"/>
    <w:rsid w:val="0C3C461F"/>
    <w:rsid w:val="113C1EF6"/>
    <w:rsid w:val="13D16ECF"/>
    <w:rsid w:val="21546BE1"/>
    <w:rsid w:val="228700B2"/>
    <w:rsid w:val="26373D07"/>
    <w:rsid w:val="28B716E0"/>
    <w:rsid w:val="29C70D30"/>
    <w:rsid w:val="2BDA29B4"/>
    <w:rsid w:val="2E391AA6"/>
    <w:rsid w:val="2E4A696A"/>
    <w:rsid w:val="2EB62D0A"/>
    <w:rsid w:val="32340DB8"/>
    <w:rsid w:val="363B42CB"/>
    <w:rsid w:val="3779021A"/>
    <w:rsid w:val="41926356"/>
    <w:rsid w:val="4285599A"/>
    <w:rsid w:val="472766E8"/>
    <w:rsid w:val="483E52EA"/>
    <w:rsid w:val="4947187B"/>
    <w:rsid w:val="49FC20A6"/>
    <w:rsid w:val="52706F89"/>
    <w:rsid w:val="58396BA4"/>
    <w:rsid w:val="5A2036AF"/>
    <w:rsid w:val="689867F4"/>
    <w:rsid w:val="693B76AA"/>
    <w:rsid w:val="6A477AC4"/>
    <w:rsid w:val="6DBF6C55"/>
    <w:rsid w:val="6EBE78D2"/>
    <w:rsid w:val="7135420A"/>
    <w:rsid w:val="71560134"/>
    <w:rsid w:val="71663DE2"/>
    <w:rsid w:val="71866F2D"/>
    <w:rsid w:val="72995BE4"/>
    <w:rsid w:val="738069EA"/>
    <w:rsid w:val="77264598"/>
    <w:rsid w:val="782E1D69"/>
    <w:rsid w:val="7953607C"/>
    <w:rsid w:val="7A3222C9"/>
    <w:rsid w:val="7F0C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3"/>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28"/>
      <w:szCs w:val="22"/>
    </w:rPr>
  </w:style>
  <w:style w:type="paragraph" w:styleId="5">
    <w:name w:val="heading 2"/>
    <w:basedOn w:val="1"/>
    <w:next w:val="1"/>
    <w:link w:val="14"/>
    <w:semiHidden/>
    <w:unhideWhenUsed/>
    <w:qFormat/>
    <w:uiPriority w:val="0"/>
    <w:pPr>
      <w:keepNext/>
      <w:keepLines/>
      <w:spacing w:before="260" w:after="260" w:line="416" w:lineRule="auto"/>
      <w:outlineLvl w:val="1"/>
    </w:pPr>
    <w:rPr>
      <w:rFonts w:ascii="Arial" w:hAnsi="Arial" w:eastAsia="汉仪粗仿宋简" w:cs="Times New Roman"/>
      <w:b/>
      <w:bCs/>
      <w:sz w:val="44"/>
      <w:szCs w:val="32"/>
    </w:rPr>
  </w:style>
  <w:style w:type="paragraph" w:styleId="6">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24"/>
      <w:szCs w:val="22"/>
    </w:rPr>
  </w:style>
  <w:style w:type="character" w:default="1" w:styleId="12">
    <w:name w:val="Default Paragraph Font"/>
    <w:autoRedefine/>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pPr>
  </w:style>
  <w:style w:type="paragraph" w:styleId="3">
    <w:name w:val="Body Text Indent"/>
    <w:basedOn w:val="1"/>
    <w:qFormat/>
    <w:uiPriority w:val="0"/>
    <w:pPr>
      <w:spacing w:after="120"/>
      <w:ind w:left="420" w:leftChars="200"/>
    </w:pPr>
    <w:rPr>
      <w:rFonts w:ascii="Calibri" w:hAnsi="Calibri" w:eastAsia="宋体" w:cs="Times New Roman"/>
      <w:lang w:val="zh-CN"/>
    </w:rPr>
  </w:style>
  <w:style w:type="paragraph" w:styleId="7">
    <w:name w:val="Normal Indent"/>
    <w:basedOn w:val="1"/>
    <w:next w:val="3"/>
    <w:qFormat/>
    <w:uiPriority w:val="99"/>
    <w:pPr>
      <w:ind w:firstLine="200" w:firstLineChars="200"/>
    </w:pPr>
    <w:rPr>
      <w:lang w:val="zh-CN"/>
    </w:rPr>
  </w:style>
  <w:style w:type="paragraph" w:styleId="8">
    <w:name w:val="Body Text"/>
    <w:basedOn w:val="1"/>
    <w:next w:val="1"/>
    <w:qFormat/>
    <w:uiPriority w:val="99"/>
    <w:pPr>
      <w:snapToGrid w:val="0"/>
      <w:spacing w:line="440" w:lineRule="exact"/>
    </w:pPr>
    <w:rPr>
      <w:rFonts w:ascii="Times New Roman" w:eastAsia="Times New Roman"/>
      <w:sz w:val="20"/>
    </w:rPr>
  </w:style>
  <w:style w:type="paragraph" w:styleId="9">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paragraph" w:styleId="10">
    <w:name w:val="Normal (Web)"/>
    <w:basedOn w:val="1"/>
    <w:qFormat/>
    <w:uiPriority w:val="0"/>
    <w:pPr>
      <w:widowControl/>
      <w:spacing w:before="100" w:beforeAutospacing="1" w:after="100" w:afterAutospacing="1"/>
      <w:jc w:val="left"/>
    </w:pPr>
    <w:rPr>
      <w:rFonts w:ascii="宋体" w:hAnsi="宋体"/>
      <w:kern w:val="0"/>
      <w:sz w:val="18"/>
      <w:szCs w:val="18"/>
    </w:rPr>
  </w:style>
  <w:style w:type="character" w:customStyle="1" w:styleId="13">
    <w:name w:val="标题 1 字符"/>
    <w:link w:val="4"/>
    <w:autoRedefine/>
    <w:qFormat/>
    <w:uiPriority w:val="0"/>
    <w:rPr>
      <w:rFonts w:ascii="Times New Roman" w:hAnsi="Times New Roman" w:eastAsia="方正仿宋_GB2312" w:cs="Times New Roman"/>
      <w:b/>
      <w:sz w:val="44"/>
      <w:szCs w:val="22"/>
    </w:rPr>
  </w:style>
  <w:style w:type="character" w:customStyle="1" w:styleId="14">
    <w:name w:val="标题 2 Char"/>
    <w:link w:val="5"/>
    <w:qFormat/>
    <w:uiPriority w:val="0"/>
    <w:rPr>
      <w:rFonts w:ascii="Arial" w:hAnsi="Arial" w:eastAsia="汉仪粗仿宋简" w:cs="Times New Roman"/>
      <w:b/>
      <w:bCs/>
      <w:sz w:val="44"/>
      <w:szCs w:val="32"/>
    </w:rPr>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4112</Words>
  <Characters>4278</Characters>
  <Lines>0</Lines>
  <Paragraphs>0</Paragraphs>
  <TotalTime>0</TotalTime>
  <ScaleCrop>false</ScaleCrop>
  <LinksUpToDate>false</LinksUpToDate>
  <CharactersWithSpaces>4285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2024-10-31T09:35:00Z</dcterms:created>
  <dc:creator>SJ</dc:creator>
  <cp:lastModifiedBy>四川知行招标</cp:lastModifiedBy>
  <dcterms:modified xsi:type="dcterms:W3CDTF">2025-02-07T07:47:25Z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8664F9AC8FC44F188527E45F877C279D_13</vt:lpwstr>
  </property>
  <property fmtid="{D5CDD505-2E9C-101B-9397-08002B2CF9AE}" pid="4" name="KSOTemplateDocerSaveRecord">
    <vt:lpwstr>eyJoZGlkIjoiNjAyZDQ3Y2UxOGE2MzI4YzVlYWRkMmU4Y2EyOTI0MzciLCJ1c2VySWQiOiIyNTQ2NjM5MDgifQ==</vt:lpwstr>
  </property>
</Properties>
</file>