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19AB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p>
    <w:p w14:paraId="5F2ED95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附件1</w:t>
      </w:r>
    </w:p>
    <w:p w14:paraId="57D46DA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bCs/>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eastAsia="zh-CN"/>
          <w14:textFill>
            <w14:solidFill>
              <w14:schemeClr w14:val="tx1"/>
            </w14:solidFill>
          </w14:textFill>
        </w:rPr>
        <w:t>内江市第一人民医院</w:t>
      </w:r>
    </w:p>
    <w:p w14:paraId="7C6A460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内控制度体系建设服务采购</w:t>
      </w:r>
      <w:r>
        <w:rPr>
          <w:rFonts w:hint="eastAsia" w:ascii="方正小标宋简体" w:hAnsi="方正小标宋简体" w:eastAsia="方正小标宋简体" w:cs="方正小标宋简体"/>
          <w:b/>
          <w:bCs/>
          <w:color w:val="000000" w:themeColor="text1"/>
          <w:sz w:val="44"/>
          <w:szCs w:val="44"/>
          <w:lang w:eastAsia="zh-CN"/>
          <w14:textFill>
            <w14:solidFill>
              <w14:schemeClr w14:val="tx1"/>
            </w14:solidFill>
          </w14:textFill>
        </w:rPr>
        <w:t>内容及要求</w:t>
      </w:r>
    </w:p>
    <w:p w14:paraId="5F57BC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560" w:lineRule="exact"/>
        <w:ind w:left="0" w:right="0" w:firstLine="391"/>
        <w:jc w:val="left"/>
        <w:textAlignment w:val="auto"/>
        <w:rPr>
          <w:rFonts w:hint="eastAsia" w:ascii="仿宋_GB2312" w:hAnsi="仿宋_GB2312" w:eastAsia="仿宋_GB2312" w:cs="仿宋_GB2312"/>
          <w:b/>
          <w:bCs/>
          <w:color w:val="000000" w:themeColor="text1"/>
          <w:kern w:val="2"/>
          <w:sz w:val="32"/>
          <w:szCs w:val="32"/>
          <w:highlight w:val="none"/>
          <w:shd w:val="clear" w:color="auto" w:fill="auto"/>
          <w:lang w:val="en-US" w:eastAsia="zh-CN" w:bidi="ar-SA"/>
          <w14:textFill>
            <w14:solidFill>
              <w14:schemeClr w14:val="tx1"/>
            </w14:solidFill>
          </w14:textFill>
        </w:rPr>
      </w:pPr>
    </w:p>
    <w:p w14:paraId="568F17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480" w:lineRule="exact"/>
        <w:ind w:left="0" w:right="0" w:firstLine="391"/>
        <w:jc w:val="left"/>
        <w:textAlignment w:val="auto"/>
        <w:rPr>
          <w:rFonts w:hint="eastAsia" w:ascii="黑体" w:hAnsi="黑体" w:eastAsia="黑体" w:cs="黑体"/>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highlight w:val="none"/>
          <w:shd w:val="clear" w:color="auto" w:fill="auto"/>
          <w:lang w:val="en-US" w:eastAsia="zh-CN" w:bidi="ar-SA"/>
          <w14:textFill>
            <w14:solidFill>
              <w14:schemeClr w14:val="tx1"/>
            </w14:solidFill>
          </w14:textFill>
        </w:rPr>
        <w:t>★一、采购内容</w:t>
      </w:r>
    </w:p>
    <w:p w14:paraId="2054FAD0">
      <w:pPr>
        <w:pStyle w:val="6"/>
        <w:keepNext w:val="0"/>
        <w:keepLines w:val="0"/>
        <w:pageBreakBefore w:val="0"/>
        <w:widowControl/>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Autospacing="0" w:afterAutospacing="0" w:line="48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供应商需安排项目负责人与采购人进行对接，并按照采购人要求安排人员在规定时间内(6个月)完成医院内部控制建设工作。</w:t>
      </w:r>
    </w:p>
    <w:p w14:paraId="53BD238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举办内控专题培训。根据财政部门内控建设要求、医院内控体系建设要点及医院情况，提供医院内部控制体系建设专题培训。针对诊断出的医院内控建设中存在的问题，以及解决办法进行培训讲解，帮助医院改进完善。现场培训不少于1次。</w:t>
      </w:r>
    </w:p>
    <w:p w14:paraId="55C611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梳理、评估医院内控建设及执行情况过程中，以集体座谈、与单位分管领导和部门主要负责人、业务经办人座谈等形式开展谈话调研，充分听取各级各类人员意见建议，并对其进行内控建设相关的辅导和沟通。专家讨论、沟通会可分科室进行，也可集中进行。</w:t>
      </w:r>
    </w:p>
    <w:p w14:paraId="144585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制定优化方案。基于医院内部控制风险评估报告，结合医院实际，应用内控建设原理，围绕监督检查要求梳理检查响应材料缺少清单，并配合我院设计切实可行的分步优化方案，提出书面管理意见及建议，对存在的问题提出整改建议和措施，并为逐步实施内部控制信息化建设提出可行性建议方案。</w:t>
      </w:r>
    </w:p>
    <w:p w14:paraId="2F1853D7">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（4）分步优化制度。基于制度解读结果及医院内部管控需求，选择风险应对策略，形成多层面、多方位、灵活的管控机制。修订的管理制度须与各业务科室反复沟通、确认后定稿，形成内控制度。</w:t>
      </w:r>
    </w:p>
    <w:p w14:paraId="36DAAF4B">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（5）流程梳理再造。根据医院业务层面制度梳理出各项活动的流程，并结合医院实际执行情况绘制单位业务流程图。修订的业务流程图须与各业务科室反复沟通、确认后定稿。</w:t>
      </w:r>
    </w:p>
    <w:p w14:paraId="205B9960">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6）表单绘制及优化。在现有管理制度、业务流程下，收集医院现行的各项表单，修订完善补充各个业务的表单样式，形成一套覆盖全套业务层面内控建设内容可执行的表单体系，确保各表单符合内控管理要求，为下一步实行信息系统流程建设奠定坚实基础。修订的业务表单须与各业务科室反复沟通、确认后定稿。</w:t>
      </w:r>
    </w:p>
    <w:p w14:paraId="4586A34E">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7）形成内控手册征求意见稿。内控手册内容至少包括管理组织、岗位责任、业务制度、业务流程图、业务表单、业务风险点评估、评价与监督等，覆盖国卫财务发〔2020〕31号文件规定的所有内容。内控手册所有内容要求设计科学、合理，符合内控管理的决策、执行、监督三权分立、不相容岗位相互分离等内控管理要求。内控手册征求意见稿涉及各科室业务内容须与各科室充分沟通并由各科室审核通过，整个内控手册征求意见稿须经财务部逐项审核、确认已经各业务科室审核通过且无违背内控管理原则性要求之后方可定稿。</w:t>
      </w:r>
    </w:p>
    <w:p w14:paraId="4BEE166A">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480" w:lineRule="exact"/>
        <w:ind w:left="0" w:right="0"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（8）根据与单位沟通确认的修改意见，形成《内江市第一人民医院内部控制制度汇编》和《内江市第一人民医院内部控制手册及流程汇编》终稿。</w:t>
      </w:r>
    </w:p>
    <w:p w14:paraId="16C221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spacing w:before="0" w:beforeAutospacing="0" w:after="0" w:afterAutospacing="0" w:line="480" w:lineRule="exact"/>
        <w:ind w:left="0" w:right="0" w:firstLine="391"/>
        <w:jc w:val="left"/>
        <w:textAlignment w:val="auto"/>
        <w:rPr>
          <w:rFonts w:hint="eastAsia" w:ascii="黑体" w:hAnsi="黑体" w:eastAsia="黑体" w:cs="黑体"/>
          <w:b w:val="0"/>
          <w:bCs w:val="0"/>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highlight w:val="none"/>
          <w:shd w:val="clear" w:color="auto" w:fill="auto"/>
          <w:lang w:val="en-US" w:eastAsia="zh-CN" w:bidi="ar-SA"/>
          <w14:textFill>
            <w14:solidFill>
              <w14:schemeClr w14:val="tx1"/>
            </w14:solidFill>
          </w14:textFill>
        </w:rPr>
        <w:t>★二、技术要求</w:t>
      </w:r>
    </w:p>
    <w:p w14:paraId="4AC311CA">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一）根据国家卫健委《公立医院内部控制管理办法》国卫财务发〔2020〕31号第十九条、第二十条的要求，全面、系统、客观地识别、分析本院经济活动及相关业务活动存在的风险，确定相应的风险承受度及风险应对策略并出具风险评估报告。</w:t>
      </w:r>
    </w:p>
    <w:p w14:paraId="1085F001">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（二）按照《公立医院内部控制管理办法》（国卫财务发</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〔2020〕</w:t>
      </w: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31号）第四十九条的要求，对医院内部控制建立和实施的有效性进行评价并按《公立医院内部控制管理办法》（国卫财务发</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〔2020〕</w:t>
      </w: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31号）第五十条的要求出具内部控制评价报告。</w:t>
      </w:r>
    </w:p>
    <w:p w14:paraId="5CFC382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三）根据《关于印发&lt;关于进一步加强公立医院内部控制建设的指导意见&gt;的通知》（财会〔2023〕31号）文件精神、《公立医院内部控制管理办法》的规定，帮助医院建立全面、系统、科学、有效的内部控制体系，确保医院内部控制建设形成合规和有效的内控机制，形成《内江市第一人民医院内部控制手册》（最终稿）：一是制度建设，按《公立医院内部控制管理办法》、根据基础性评价工作结果，对医院十二大业务进行制度的制定、完善和修订，形成《内江市第一人民医院内部控制制度汇编》；二是流程建设，对医院的十二大经济业务的相关流程进行梳理和完善，并绘制流程图，形成《内江市第一人民医院内部控制手册流程汇编》；三是其他，包括但不限于对表单、管理台账等进行设计或完善。具体服务内容包括但不限于：</w:t>
      </w:r>
    </w:p>
    <w:p w14:paraId="3D84CC62">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1.单位层面内部控制建设：包括单位决策机制，内部管理机构设置及职责分工，决策和执行的制衡机制；内部管理制度的健全；关键岗位管理等。</w:t>
      </w:r>
    </w:p>
    <w:p w14:paraId="1719EC4C">
      <w:pPr>
        <w:pStyle w:val="6"/>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2.业务层面内部控制建设：建立健全各业务活动的管理制度和业务流程规范，包括：预算管理、收支业务管理、采购业务管理、资产管理、建设项目管理、合同管理、医疗业务管理、科研项目和临床试验项目管理、教学管理、信息系统管理、互联网诊疗管理、医联体管理十二大业务活动合规性和有效性建设。其中：</w:t>
      </w:r>
    </w:p>
    <w:p w14:paraId="65B7BE84">
      <w:pPr>
        <w:keepNext w:val="0"/>
        <w:keepLines w:val="0"/>
        <w:pageBreakBefore w:val="0"/>
        <w:numPr>
          <w:ilvl w:val="0"/>
          <w:numId w:val="0"/>
        </w:numPr>
        <w:kinsoku/>
        <w:wordWrap/>
        <w:overflowPunct/>
        <w:topLinePunct w:val="0"/>
        <w:autoSpaceDE/>
        <w:autoSpaceDN/>
        <w:bidi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shd w:val="clear" w:color="auto" w:fill="auto"/>
          <w:lang w:eastAsia="zh-CN"/>
          <w14:textFill>
            <w14:solidFill>
              <w14:schemeClr w14:val="tx1"/>
            </w14:solidFill>
          </w14:textFill>
        </w:rPr>
        <w:t>采购部</w:t>
      </w:r>
    </w:p>
    <w:p w14:paraId="6BA3A9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1、</w: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采购管理</w:t>
      </w:r>
    </w:p>
    <w:p w14:paraId="563327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1.1</w: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明确各部门职能职责，实现采购业务归口管理。</w:t>
      </w:r>
    </w:p>
    <w:p w14:paraId="43E36B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1.2按照预算和计划组织采购业务。</w:t>
      </w:r>
    </w:p>
    <w:p w14:paraId="51FD95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1.3按照规定组织采购活动和执行验收程序。</w:t>
      </w:r>
    </w:p>
    <w:p w14:paraId="0A8CE1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1.4按照规定保管采购业务相关档案等。</w:t>
      </w:r>
    </w:p>
    <w:p w14:paraId="0ECDF7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2、</w: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建立政府采购管理制度、自行采购管理制度</w:t>
      </w:r>
    </w:p>
    <w:p w14:paraId="250342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2.1明确采购管理内部控制的决策、管理、执行、监督机构的职责。</w:t>
      </w:r>
    </w:p>
    <w:p w14:paraId="6793BF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2.2明确采购管理各业务环节的管理要求。</w:t>
      </w:r>
    </w:p>
    <w:p w14:paraId="369A24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3、</w: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采购管理流程梳理及流程图编制情况</w:t>
      </w:r>
    </w:p>
    <w:p w14:paraId="50DF69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3.1编制采购管理各关键业务流程图。</w:t>
      </w:r>
    </w:p>
    <w:p w14:paraId="0A3DCA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3.2编制采购管理各关键业务流程图的流程说明。</w:t>
      </w:r>
    </w:p>
    <w:p w14:paraId="283FA6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3.3管理各关键业务流程图、流程说明需体现与本领域及其他领域之间的流程衔接关系。</w:t>
      </w:r>
    </w:p>
    <w:p w14:paraId="40786B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4、编制</w:t>
      </w: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采购管理关键流程一致性情况。</w:t>
      </w:r>
    </w:p>
    <w:p w14:paraId="2F41011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5、采购风险控制</w:t>
      </w:r>
    </w:p>
    <w:p w14:paraId="1D4296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5.1分离不相容岗位，明确岗位及人员。</w:t>
      </w:r>
    </w:p>
    <w:p w14:paraId="676F3B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vertAlign w:val="baseline"/>
          <w:lang w:val="en-US" w:eastAsia="zh-CN"/>
          <w14:textFill>
            <w14:solidFill>
              <w14:schemeClr w14:val="tx1"/>
            </w14:solidFill>
          </w14:textFill>
        </w:rPr>
        <w:t>5.2其他。</w:t>
      </w:r>
    </w:p>
    <w:p w14:paraId="2649EDD8">
      <w:pPr>
        <w:keepNext w:val="0"/>
        <w:keepLines w:val="0"/>
        <w:pageBreakBefore w:val="0"/>
        <w:numPr>
          <w:ilvl w:val="-1"/>
          <w:numId w:val="0"/>
        </w:numPr>
        <w:kinsoku/>
        <w:wordWrap/>
        <w:overflowPunct/>
        <w:topLinePunct w:val="0"/>
        <w:autoSpaceDE/>
        <w:autoSpaceDN/>
        <w:bidi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科教科</w:t>
      </w:r>
    </w:p>
    <w:p w14:paraId="675AF30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根据国家卫健委《公立医院内部控制管理办法》第二十条、二十八条、三十五条、三十六条规定，对以下方面工作、现行管理制度进行评估，并帮助建立合理可行的相关管理制度和机制：</w:t>
      </w:r>
    </w:p>
    <w:p w14:paraId="7D0139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1、科研项目立项论证和立项管理规定是否合理，明确科研合作单位资质要求，帮助建立合理可行的科研项目监督机制。</w:t>
      </w:r>
    </w:p>
    <w:p w14:paraId="60C16E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2、科技奖励范围、权重是否合理。</w:t>
      </w:r>
    </w:p>
    <w:p w14:paraId="046F3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3、帮助建立合理可行的住培、教学监督机制；住培、教学师资教学补助标准是否合理。</w:t>
      </w:r>
    </w:p>
    <w:p w14:paraId="4091F9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vertAlign w:val="baseline"/>
          <w:lang w:val="en-US" w:eastAsia="zh-CN" w:bidi="ar-SA"/>
          <w14:textFill>
            <w14:solidFill>
              <w14:schemeClr w14:val="tx1"/>
            </w14:solidFill>
          </w14:textFill>
        </w:rPr>
        <w:t>4、职工外出参会培训审批流程、频次规定、考核方法等是否合理，是否与医院经济现状和高质量发展需求相适应。</w:t>
      </w:r>
    </w:p>
    <w:p w14:paraId="00A9661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5.评估现行进修收费标准是否合理；</w:t>
      </w:r>
    </w:p>
    <w:p w14:paraId="65CAC8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6.评估康复治疗师规范化培训是否必要，学员生活补助、师资带教补助标准是否合理；</w:t>
      </w:r>
    </w:p>
    <w:p w14:paraId="349739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7.评估牵头部分的预算编制部分是否合理；</w:t>
      </w:r>
    </w:p>
    <w:p w14:paraId="4D869A1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8.帮助评估现有信息系统是否能满足工作需要。</w:t>
      </w:r>
    </w:p>
    <w:p w14:paraId="75403175">
      <w:pPr>
        <w:keepNext w:val="0"/>
        <w:keepLines w:val="0"/>
        <w:pageBreakBefore w:val="0"/>
        <w:numPr>
          <w:ilvl w:val="0"/>
          <w:numId w:val="0"/>
        </w:numPr>
        <w:kinsoku/>
        <w:wordWrap/>
        <w:overflowPunct/>
        <w:topLinePunct w:val="0"/>
        <w:autoSpaceDE/>
        <w:autoSpaceDN/>
        <w:bidi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财务科</w:t>
      </w:r>
    </w:p>
    <w:p w14:paraId="745419C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1、政府会计制度改革</w:t>
      </w:r>
    </w:p>
    <w:p w14:paraId="252FDB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1.1是否有效执行政府会计准则制度。</w:t>
      </w:r>
    </w:p>
    <w:p w14:paraId="2D5FD8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1.2是否按照政府会计准则制度要求开展预算会计核算和财务会计核算。</w:t>
      </w:r>
    </w:p>
    <w:p w14:paraId="78D827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1.3是否对固定资产和无形资产计提折旧或摊销。</w:t>
      </w:r>
    </w:p>
    <w:p w14:paraId="77591A8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1.4本年编制政府部门财务报告时，部门及所属单位之间发生的经济业务或事项是否在抵销前进行确认。</w:t>
      </w:r>
    </w:p>
    <w:p w14:paraId="73A79A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1.5是否将基本建设投资、公共基础设施、保障性住房、政府储备物资、国有文物文化资产等纳入统一账簿进行会计核算。</w:t>
      </w:r>
    </w:p>
    <w:p w14:paraId="62F61E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2、预算管理</w:t>
      </w:r>
    </w:p>
    <w:p w14:paraId="1FF012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2.1不相容岗位是否分离，是否明确了岗位及人员，且两个岗位为不同的人员。如：预算编制与审核；预算审批与执行；预算执行与分析；决算编制与审核。</w:t>
      </w:r>
    </w:p>
    <w:p w14:paraId="757ADD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2.2预算管理制度。</w:t>
      </w:r>
    </w:p>
    <w:p w14:paraId="7BAEA3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2.3预算管理流程梳理及流程图编制情况。</w:t>
      </w:r>
    </w:p>
    <w:p w14:paraId="39CF55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2.3.1关键业务流程图和流程说明。</w:t>
      </w:r>
    </w:p>
    <w:p w14:paraId="55A031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2.3.1.1项目申报及审批流程。</w:t>
      </w:r>
    </w:p>
    <w:p w14:paraId="0EF08B3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2.3.1.2部门三年规划编制及审批流程。</w:t>
      </w:r>
    </w:p>
    <w:p w14:paraId="03F9BD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2.3.1.3收入预算编制及审批流程。</w:t>
      </w:r>
    </w:p>
    <w:p w14:paraId="47EA38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2.3.1.4基本支出预算编制及审批流程。</w:t>
      </w:r>
    </w:p>
    <w:p w14:paraId="24A76D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2.3.1.5项目支出预算编制及审批流程。</w:t>
      </w:r>
    </w:p>
    <w:p w14:paraId="7E399E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2.3.1.6转移支付项目预算编制及审批流程。</w:t>
      </w:r>
    </w:p>
    <w:p w14:paraId="2E8D65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2.3.1.7政府采购预算编制及审批流程。</w:t>
      </w:r>
    </w:p>
    <w:p w14:paraId="2E3D77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2.3.1.8资产配置预算编制及审批流程。</w:t>
      </w:r>
    </w:p>
    <w:p w14:paraId="67723B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2.3.1.9年度预算编制及审批流程。</w:t>
      </w:r>
    </w:p>
    <w:p w14:paraId="730C88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2.3.1.10预算内部分解下达流程。</w:t>
      </w:r>
    </w:p>
    <w:p w14:paraId="735A2F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2.3.1.11预算执行与分析流程。</w:t>
      </w:r>
    </w:p>
    <w:p w14:paraId="793D4EA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2.3.1.12预算调整流程。</w:t>
      </w:r>
    </w:p>
    <w:p w14:paraId="052AF4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2.3.1.13预算调剂流程。</w:t>
      </w:r>
    </w:p>
    <w:p w14:paraId="60B6F7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2.3.1.14决算编制及审批流程。</w:t>
      </w:r>
    </w:p>
    <w:p w14:paraId="026CE2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2.3.1.15预算绩效评价流程。</w:t>
      </w:r>
    </w:p>
    <w:p w14:paraId="1347D2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2.3.1.16预决算公开流程等。</w:t>
      </w:r>
    </w:p>
    <w:p w14:paraId="6717CA1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2.3.2预算管理各关键业务流程图、流程说明与本领域及其他领域之间的流程衔接关系，如预算执行流程与采购、资产等流程的衔接；预算分解下达流程与收支领域内支出事前流程的衔接。</w:t>
      </w:r>
    </w:p>
    <w:p w14:paraId="041B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2.3.3预算管理一致性。</w:t>
      </w:r>
    </w:p>
    <w:p w14:paraId="043E61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2.4预算管理关键流程执行情况。</w:t>
      </w:r>
    </w:p>
    <w:p w14:paraId="18915E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2.5预算管理要求在信息系统中的运行情况。</w:t>
      </w:r>
    </w:p>
    <w:p w14:paraId="4D9E84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2.5.1预算管理的不相容岗位分离要求。</w:t>
      </w:r>
    </w:p>
    <w:p w14:paraId="410505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2.5.2部门职能及岗位职责及权限控制要求。</w:t>
      </w:r>
    </w:p>
    <w:p w14:paraId="31CC3E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2.5.3关键业务流程固化要求。</w:t>
      </w:r>
    </w:p>
    <w:p w14:paraId="45572B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2.5.3.1项目申报及审批流程。</w:t>
      </w:r>
    </w:p>
    <w:p w14:paraId="1C07BC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2.5.3.2基本支出预算编制及审批流程。</w:t>
      </w:r>
    </w:p>
    <w:p w14:paraId="390367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2.5.3.3项目支出预算编制及审批流程。</w:t>
      </w:r>
    </w:p>
    <w:p w14:paraId="033C3C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2.5.3.4转移支付项目预算编制及审批流程。</w:t>
      </w:r>
    </w:p>
    <w:p w14:paraId="6BB3B0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2.5.3.5年度预算编制及审批流程。</w:t>
      </w:r>
    </w:p>
    <w:p w14:paraId="1A14EC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2.5.3.6预算调整流程。</w:t>
      </w:r>
    </w:p>
    <w:p w14:paraId="5EE2A1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2.5.3.7预算调剂流程。</w:t>
      </w:r>
    </w:p>
    <w:p w14:paraId="28E3647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2.5.4关键业务流程中的关键控制点固化要求、关键控制点对应的控制要素、控制要求、控制依据固化要求、关键控制点的单据固化要求、关键控制点的时限固化要求。</w:t>
      </w:r>
    </w:p>
    <w:p w14:paraId="7097AA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3、收支管理</w:t>
      </w:r>
    </w:p>
    <w:p w14:paraId="46D60C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3.1不相容岗位是否分离，是否明确了岗位及人员，且两个岗位为不同的人员。如：收款与会计核算；支出申请与审批；支出审批与付款；业务经办与会计核算。</w:t>
      </w:r>
    </w:p>
    <w:p w14:paraId="5A610E8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3.2收支管理制度建立情况。</w:t>
      </w:r>
    </w:p>
    <w:p w14:paraId="53F280F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3.2.1明确收支管理内部控制的决策、管理、执行、监督机构的职责。</w:t>
      </w:r>
    </w:p>
    <w:p w14:paraId="50C9F3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3.2.2明确收支管理各业务环节的管理要求（含：控制目标、控制要求、与其他环节的衔接控制要求等）：包括收入管理、支出管理、票据管理、公务卡管理、银行账户管理、财务印章管理、收入及支出分析管理、会计档案管理、债务管理（事业单位）等环节。</w:t>
      </w:r>
    </w:p>
    <w:p w14:paraId="78CC2E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3.3收支管理流程梳理及流程图编制情况。</w:t>
      </w:r>
    </w:p>
    <w:p w14:paraId="197A4B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3.3.1编制收支管理各关键业务流程图（含：主责部门、主责岗位、控制动作、控制文档、风险点、控制点）。</w:t>
      </w:r>
    </w:p>
    <w:p w14:paraId="482EA1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3.3.2编制收支管理各关键业务流程图的流程说明（含：主责部门、主责岗位、控制动作、控制要素、控制要求、控制文档）。3.3.2.1收入登记及入账流程。</w:t>
      </w:r>
    </w:p>
    <w:p w14:paraId="0961C9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3.3.2.2支出事前申请及审批流程。</w:t>
      </w:r>
    </w:p>
    <w:p w14:paraId="416E1D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3.3.2.3用款计划申请及审批流程。</w:t>
      </w:r>
    </w:p>
    <w:p w14:paraId="7B4F8F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3.3.2.4借款申请及审批流程。</w:t>
      </w:r>
    </w:p>
    <w:p w14:paraId="544373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3.2.5报销申请及审批流程。</w:t>
      </w:r>
    </w:p>
    <w:p w14:paraId="3C17A23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3.3.3收支管理各关键业务流程图、流程说明体现与本领域及其他领域之间的流程衔接关系，如支出事前申请流程，其与政府采购领域内采购需求论证流程相衔接。</w:t>
      </w:r>
    </w:p>
    <w:p w14:paraId="0B8E7C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3.4收支管理关键流程一致性。</w:t>
      </w:r>
    </w:p>
    <w:p w14:paraId="5893BA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3.5收支管理关键流程执行情况。</w:t>
      </w:r>
    </w:p>
    <w:p w14:paraId="36A47A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按照流程要求进行审批控制；保留相应的过程性记录；保证业务的有效实施；是否包括关键性流程，如收入登记及入账流程；非税收入收取及缴库流程；支出事前申请及审批流程；用款计划申请及审批流程；借款申请及审批流程；报销申请及审批流程；财政直接支付申请及审批流程；财政授权支付申请及审批流程；财政票据年度用票计划申报及审核流程等等。</w:t>
      </w:r>
    </w:p>
    <w:p w14:paraId="091623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3.6收支管理要求在信息系统中的运行情况。</w:t>
      </w:r>
    </w:p>
    <w:p w14:paraId="79EBD68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3.6.1收支管理的不相容岗位分离要求。</w:t>
      </w:r>
    </w:p>
    <w:p w14:paraId="02DF7BE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3.6.2部门职能及岗位职责及权限分控制要求。</w:t>
      </w:r>
    </w:p>
    <w:p w14:paraId="3DDD29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3.6.3关键业务流程固化要求。</w:t>
      </w:r>
    </w:p>
    <w:p w14:paraId="0AF87F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3.6.4关键业务流程中的关键控制点固化要求、关键控制点对应的控制要素、控制要求、控制依据固化要求、关键控制点的单据固化要求、关键控制点的时限固化要求。</w:t>
      </w:r>
    </w:p>
    <w:p w14:paraId="132BA3B0">
      <w:pPr>
        <w:keepNext w:val="0"/>
        <w:keepLines w:val="0"/>
        <w:pageBreakBefore w:val="0"/>
        <w:numPr>
          <w:ilvl w:val="-1"/>
          <w:numId w:val="0"/>
        </w:numPr>
        <w:kinsoku/>
        <w:wordWrap/>
        <w:overflowPunct/>
        <w:topLinePunct w:val="0"/>
        <w:autoSpaceDE/>
        <w:autoSpaceDN/>
        <w:bidi w:val="0"/>
        <w:adjustRightInd w:val="0"/>
        <w:snapToGrid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GCP/药剂科</w:t>
      </w:r>
    </w:p>
    <w:p w14:paraId="52128DEA">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t>1、审核医院现有药品采购内控制度，提出修订建议，并协助修订。</w:t>
      </w:r>
    </w:p>
    <w:p w14:paraId="5C42C103">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t>2、审核医院现有临床试验SOP内控体系，提出修订建议，并协助修订。</w:t>
      </w:r>
    </w:p>
    <w:p w14:paraId="2FA6F922">
      <w:pPr>
        <w:keepNext w:val="0"/>
        <w:keepLines w:val="0"/>
        <w:pageBreakBefore w:val="0"/>
        <w:numPr>
          <w:ilvl w:val="-1"/>
          <w:numId w:val="0"/>
        </w:numPr>
        <w:kinsoku/>
        <w:wordWrap/>
        <w:overflowPunct/>
        <w:topLinePunct w:val="0"/>
        <w:autoSpaceDE/>
        <w:autoSpaceDN/>
        <w:bidi w:val="0"/>
        <w:adjustRightInd w:val="0"/>
        <w:snapToGrid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医务科</w:t>
      </w:r>
    </w:p>
    <w:p w14:paraId="371EB6E1">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0" w:beforeAutospacing="0" w:after="0" w:afterAutospacing="0" w:line="480" w:lineRule="exact"/>
        <w:ind w:left="0" w:right="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32"/>
          <w:szCs w:val="32"/>
          <w:vertAlign w:val="baseline"/>
          <w:lang w:val="en-US" w:eastAsia="zh-CN" w:bidi="ar-SA"/>
          <w14:textFill>
            <w14:solidFill>
              <w14:schemeClr w14:val="tx1"/>
            </w14:solidFill>
          </w14:textFill>
        </w:rPr>
        <w:t>依据《国务院办公厅关于推动公立医院高质量发展的意见》、《公立医院内部控制管理办法》、《关于印</w:t>
      </w: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发&lt;关于进一步加强公立医院内部控制建设的指导意见&gt;的通知》文件精神，帮助医务科建立全面、系统、科学、有效的内部控制体系。</w:t>
      </w:r>
    </w:p>
    <w:p w14:paraId="68A40471">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1、需要系统能够全面、系统、客观地识别、分析本院医疗活动及相关业务活动存在的风险，确定相应的风险承受度及风险应对策略并出具风险评估报告（医务相关）。</w:t>
      </w:r>
    </w:p>
    <w:p w14:paraId="35BD5E25">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2、需要针对对医院内部控制建立和实施的有效性进行评价并按《公立医院内部控制管理办法》的要求出具内部控制评价报告（医务相关）。</w:t>
      </w:r>
    </w:p>
    <w:p w14:paraId="3B5265D7">
      <w:pPr>
        <w:keepNext w:val="0"/>
        <w:keepLines w:val="0"/>
        <w:pageBreakBefore w:val="0"/>
        <w:widowControl w:val="0"/>
        <w:numPr>
          <w:ilvl w:val="-1"/>
          <w:numId w:val="0"/>
        </w:numPr>
        <w:suppressLineNumbers w:val="0"/>
        <w:pBdr>
          <w:top w:val="none" w:color="auto" w:sz="0" w:space="0"/>
          <w:left w:val="none" w:color="auto" w:sz="0" w:space="0"/>
          <w:right w:val="none" w:color="auto" w:sz="0" w:space="0"/>
        </w:pBdr>
        <w:shd w:val="clear"/>
        <w:tabs>
          <w:tab w:val="left" w:pos="1903"/>
        </w:tabs>
        <w:kinsoku/>
        <w:wordWrap/>
        <w:overflowPunct/>
        <w:topLinePunct w:val="0"/>
        <w:autoSpaceDE/>
        <w:autoSpaceDN/>
        <w:bidi w:val="0"/>
        <w:adjustRightInd w:val="0"/>
        <w:snapToGrid w:val="0"/>
        <w:spacing w:before="0" w:beforeAutospacing="0" w:after="0" w:afterAutospacing="0" w:line="480" w:lineRule="exact"/>
        <w:ind w:left="0" w:right="0"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确保医院内部控制建设形成合规和有效的内控机制并形成制度，其中包括：（1）协助建立健全诊疗规范和诊疗活动管理制度，规范医疗行为，并严格按照政府主管部门批准范围开展诊疗活动；（2）医疗业务活动应当实行归口管理，希望协助明确内部医务管理部门、医保部门、物价部门在医疗活动行方面的职责；（3）针对医务相关流程进行梳理和完善，并绘制流程图；（4）对医务相关表单、管理台账等进行设计或完善，并帮助完善内部控制报告的内容编制填报。</w:t>
      </w:r>
    </w:p>
    <w:p w14:paraId="2D385568">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4、为加强对临床科室诊疗活动的监督检查力度，帮助医务科健全相关管理制度，优化管理流程，帮助建立与医保部门、物价部门沟通协调机制，定期分析诊疗服务过程中存在的漏洞，对存在的问题及时组织整改。</w:t>
      </w:r>
    </w:p>
    <w:p w14:paraId="4CD932B9">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5、加强行风建设，帮助设置并完善行风管理制度，加强监督和管理，以避免临床科室和医务人员在执业过程中出现违规违法行为。</w:t>
      </w:r>
    </w:p>
    <w:p w14:paraId="6535E894">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6、帮助医务科完善各相关委员会建设，明确委员会的组织构成和运行机制。</w:t>
      </w:r>
    </w:p>
    <w:p w14:paraId="6096B446">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7、帮助明确医务科在互联网医疗业务中的职责与权限，建立互联网医疗业务的工作流程、业务规范、沟通配合机制，对互联网医疗业务管理的关键环节实行重点管控。</w:t>
      </w:r>
    </w:p>
    <w:p w14:paraId="44AF3735">
      <w:pPr>
        <w:keepNext w:val="0"/>
        <w:keepLines w:val="0"/>
        <w:pageBreakBefore w:val="0"/>
        <w:numPr>
          <w:ilvl w:val="-1"/>
          <w:numId w:val="0"/>
        </w:numPr>
        <w:kinsoku/>
        <w:wordWrap/>
        <w:overflowPunct/>
        <w:topLinePunct w:val="0"/>
        <w:autoSpaceDE/>
        <w:autoSpaceDN/>
        <w:bidi w:val="0"/>
        <w:adjustRightInd w:val="0"/>
        <w:snapToGrid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基建科</w:t>
      </w:r>
    </w:p>
    <w:p w14:paraId="37688AF1">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建立基本建设项目（大型项目、改扩建项目、院内零星维修项目）管理制度，项目议事决策机制、项目审核机制和项目考核监督机制。建设项目的立项、设计、概预算、施工、询价、收方、验收、归档和竣工决算的工作流程、业务规范。</w:t>
      </w:r>
    </w:p>
    <w:p w14:paraId="48EF0843">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2、明确建设项目（大型项目、改扩建项目、院内零星维修项目）决策机构、归口管理部门、财务部门、审计部门、资产部门等内部相关部门在建设项目管理中的职责权限。</w:t>
      </w:r>
    </w:p>
    <w:p w14:paraId="422F77C8">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3、合理设置科室管理岗位，明确岗位职能、职责、权限。</w:t>
      </w:r>
    </w:p>
    <w:p w14:paraId="721198BF">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4、建设项目管理各关键工作的流程图及流程说明。</w:t>
      </w:r>
    </w:p>
    <w:p w14:paraId="054150A5">
      <w:pPr>
        <w:keepNext w:val="0"/>
        <w:keepLines w:val="0"/>
        <w:pageBreakBefore w:val="0"/>
        <w:numPr>
          <w:ilvl w:val="-1"/>
          <w:numId w:val="0"/>
        </w:numPr>
        <w:kinsoku/>
        <w:wordWrap/>
        <w:overflowPunct/>
        <w:topLinePunct w:val="0"/>
        <w:autoSpaceDE/>
        <w:autoSpaceDN/>
        <w:bidi w:val="0"/>
        <w:adjustRightInd w:val="0"/>
        <w:snapToGrid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审计科</w:t>
      </w:r>
    </w:p>
    <w:p w14:paraId="618EBDFA">
      <w:pPr>
        <w:keepNext w:val="0"/>
        <w:keepLines w:val="0"/>
        <w:pageBreakBefore w:val="0"/>
        <w:widowControl w:val="0"/>
        <w:numPr>
          <w:ilvl w:val="-1"/>
          <w:numId w:val="0"/>
        </w:numPr>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分析本院经济活动及相关业务活动存在的风险，确定相应的风险承受度及风险应对策略并出具风险评估报告。</w:t>
      </w:r>
    </w:p>
    <w:p w14:paraId="7434DBB4">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对本院内部控制建立和实施的有效性进行评价，按《公立医院内部控制管理办法》（国卫财发〔2020〕31号）第五十条的要求制定内部控制评价方案，出具评价报告。</w:t>
      </w:r>
    </w:p>
    <w:p w14:paraId="3D2CEBCA">
      <w:pPr>
        <w:keepNext w:val="0"/>
        <w:keepLines w:val="0"/>
        <w:pageBreakBefore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设备科</w:t>
      </w:r>
    </w:p>
    <w:p w14:paraId="743C966F">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1、建立健全医疗器械与医用耗材采管体系，落实国家药品和医用耗材采购政策明确职责划分与归口管理，确定医用耗材、仪器设备、科研试剂等品类多、金额大的物资和设备等物资采购过程中的关键管控环节和控制措施。</w:t>
      </w:r>
    </w:p>
    <w:p w14:paraId="15EA13FF">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2、建立健全覆盖医疗设备、医用耗材、服务类采购全流程需求论证、需求制定、项目执行、验收入库等环节的审核与评估机制。</w:t>
      </w:r>
    </w:p>
    <w:p w14:paraId="0DE2570D">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3、建立健全覆盖资产管理全条线的管理办法和信息流程，实现资产实时动态管理，规范资产变动管理。</w:t>
      </w:r>
    </w:p>
    <w:p w14:paraId="7DE5634F">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4、建立健全供应商管理评价机制。</w:t>
      </w:r>
    </w:p>
    <w:p w14:paraId="47D5AEA1">
      <w:pPr>
        <w:keepNext w:val="0"/>
        <w:keepLines w:val="0"/>
        <w:pageBreakBefore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spacing w:line="480" w:lineRule="exact"/>
        <w:ind w:firstLine="643"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信息科</w:t>
      </w:r>
    </w:p>
    <w:p w14:paraId="18032149">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vertAlign w:val="baseline"/>
          <w:lang w:val="en-US" w:eastAsia="zh-CN" w:bidi="ar-SA"/>
          <w14:textFill>
            <w14:solidFill>
              <w14:schemeClr w14:val="tx1"/>
            </w14:solidFill>
          </w14:textFill>
        </w:rPr>
        <w:t>按照《公立医院内部控制管理办法》第三十九条要求会同科室完成“信息化建设业务内部控制”板块对医院管理制度要求建设内容。</w:t>
      </w:r>
    </w:p>
    <w:p w14:paraId="57D63B10">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（四）协助采购人完成2024年度内部控制报告的内容编制填报。</w:t>
      </w:r>
    </w:p>
    <w:p w14:paraId="038BB827">
      <w:pPr>
        <w:keepNext w:val="0"/>
        <w:keepLines w:val="0"/>
        <w:pageBreakBefore w:val="0"/>
        <w:widowControl w:val="0"/>
        <w:numPr>
          <w:ilvl w:val="0"/>
          <w:numId w:val="0"/>
        </w:numPr>
        <w:pBdr>
          <w:top w:val="none" w:color="auto" w:sz="0" w:space="0"/>
          <w:left w:val="none" w:color="auto" w:sz="0" w:space="0"/>
          <w:right w:val="none" w:color="auto" w:sz="0" w:space="0"/>
        </w:pBdr>
        <w:shd w:val="clear" w:color="auto" w:fill="auto"/>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五）提供内部控制建设服务的实施方案，方案包括：①项目分析；②质量控制措施；③项目实施重难点分析及应对策略；④实施的方法和步骤方案；⑤项目人员配置及工作职责；⑥确保服务周期的措施等；⑦审核工作步骤及流程；⑧廉政、保密制度等内容。</w:t>
      </w:r>
    </w:p>
    <w:p w14:paraId="15BB684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5FBB76F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31E2FEB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60FC51B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19B8CEB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1E101E30">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000000" w:themeColor="text1"/>
          <w14:textFill>
            <w14:solidFill>
              <w14:schemeClr w14:val="tx1"/>
            </w14:solidFill>
          </w14:textFill>
        </w:rPr>
      </w:pPr>
      <w:bookmarkStart w:id="0" w:name="_GoBack"/>
      <w:bookmarkEnd w:id="0"/>
    </w:p>
    <w:sectPr>
      <w:headerReference r:id="rId3" w:type="default"/>
      <w:footerReference r:id="rId4"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0A4A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A125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FA125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53F1A">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C53EEB"/>
    <w:multiLevelType w:val="singleLevel"/>
    <w:tmpl w:val="8FC53EEB"/>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Njg5N2E1OThiZmU3YWU5MTQ1Y2IzNWUxODYyZjIifQ=="/>
  </w:docVars>
  <w:rsids>
    <w:rsidRoot w:val="00000000"/>
    <w:rsid w:val="08033C25"/>
    <w:rsid w:val="0B427C6F"/>
    <w:rsid w:val="14A50698"/>
    <w:rsid w:val="1AAF3CC1"/>
    <w:rsid w:val="249D016E"/>
    <w:rsid w:val="26F1465A"/>
    <w:rsid w:val="28235FAE"/>
    <w:rsid w:val="2C915764"/>
    <w:rsid w:val="44AF103D"/>
    <w:rsid w:val="55A956BF"/>
    <w:rsid w:val="606C5F6F"/>
    <w:rsid w:val="6DF81384"/>
    <w:rsid w:val="761B00F0"/>
    <w:rsid w:val="7DE42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outlineLvl w:val="3"/>
    </w:pPr>
    <w:rPr>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line="240" w:lineRule="auto"/>
      <w:jc w:val="left"/>
    </w:pPr>
    <w:rPr>
      <w:rFonts w:ascii="Calibri" w:hAnsi="Calibri" w:eastAsia="楷体" w:cs="Times New Roman"/>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6324</Words>
  <Characters>6707</Characters>
  <Lines>0</Lines>
  <Paragraphs>0</Paragraphs>
  <TotalTime>7</TotalTime>
  <ScaleCrop>false</ScaleCrop>
  <LinksUpToDate>false</LinksUpToDate>
  <CharactersWithSpaces>6707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2024-08-26T00:48:00Z</dcterms:created>
  <dc:creator>Administrator</dc:creator>
  <cp:lastModifiedBy>皮皮熊</cp:lastModifiedBy>
  <cp:lastPrinted>2025-02-10T03:53:00Z</cp:lastPrinted>
  <dcterms:modified xsi:type="dcterms:W3CDTF">2025-02-10T08:06:48Z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F2DD1596D4AB466F84FE9E6A46614476_13</vt:lpwstr>
  </property>
  <property fmtid="{D5CDD505-2E9C-101B-9397-08002B2CF9AE}" pid="4" name="KSOTemplateDocerSaveRecord">
    <vt:lpwstr>eyJoZGlkIjoiZTg5ZTFiMzhiZmI4OGE2ZDllNTZjOTY1YzBiYTJjOTUiLCJ1c2VySWQiOiI3MDAwNDU5MTQifQ==</vt:lpwstr>
  </property>
</Properties>
</file>