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2043AF">
      <w:pPr>
        <w:numPr>
          <w:ilvl w:val="0"/>
          <w:numId w:val="0"/>
        </w:numPr>
        <w:spacing w:line="360" w:lineRule="auto"/>
        <w:jc w:val="center"/>
        <w:outlineLvl w:val="0"/>
        <w:rPr>
          <w:rFonts w:hint="eastAsia" w:hAnsi="宋体" w:eastAsia="宋体" w:cs="宋体"/>
          <w:b/>
          <w:sz w:val="32"/>
          <w:szCs w:val="32"/>
          <w:lang w:eastAsia="zh-CN"/>
        </w:rPr>
      </w:pPr>
      <w:bookmarkStart w:id="0" w:name="_Toc12365"/>
      <w:bookmarkStart w:id="1" w:name="_Toc8482"/>
      <w:bookmarkStart w:id="2" w:name="_Toc11521"/>
      <w:bookmarkStart w:id="3" w:name="_Toc19831"/>
      <w:bookmarkStart w:id="4" w:name="_Toc10056"/>
      <w:bookmarkStart w:id="5" w:name="_Toc31430"/>
      <w:bookmarkStart w:id="6" w:name="_Toc5909"/>
      <w:bookmarkStart w:id="7" w:name="_Toc14636"/>
      <w:r>
        <w:rPr>
          <w:rFonts w:hint="eastAsia" w:hAnsi="宋体" w:cs="宋体"/>
          <w:b/>
          <w:sz w:val="32"/>
          <w:szCs w:val="32"/>
          <w:lang w:val="en-US" w:eastAsia="zh-CN" w:bidi="ar-SA"/>
        </w:rPr>
        <w:t xml:space="preserve">  </w:t>
      </w:r>
      <w:bookmarkEnd w:id="0"/>
      <w:bookmarkEnd w:id="1"/>
      <w:bookmarkEnd w:id="2"/>
      <w:bookmarkEnd w:id="3"/>
      <w:bookmarkEnd w:id="4"/>
      <w:bookmarkEnd w:id="5"/>
      <w:bookmarkEnd w:id="6"/>
      <w:bookmarkEnd w:id="7"/>
      <w:r>
        <w:rPr>
          <w:rFonts w:hint="eastAsia" w:hAnsi="宋体" w:cs="宋体"/>
          <w:b/>
          <w:sz w:val="32"/>
          <w:szCs w:val="32"/>
          <w:lang w:val="en-US" w:eastAsia="zh-CN"/>
        </w:rPr>
        <w:t>采购需求</w:t>
      </w:r>
      <w:bookmarkStart w:id="8" w:name="_GoBack"/>
      <w:bookmarkEnd w:id="8"/>
    </w:p>
    <w:p w14:paraId="7084497B">
      <w:pPr>
        <w:tabs>
          <w:tab w:val="left" w:pos="1546"/>
        </w:tabs>
        <w:autoSpaceDE w:val="0"/>
        <w:autoSpaceDN w:val="0"/>
        <w:adjustRightInd w:val="0"/>
        <w:spacing w:line="440" w:lineRule="exact"/>
        <w:ind w:firstLine="458" w:firstLineChars="200"/>
        <w:jc w:val="left"/>
        <w:outlineLvl w:val="1"/>
        <w:rPr>
          <w:rFonts w:hint="eastAsia" w:hAnsi="宋体" w:cs="宋体"/>
          <w:b/>
          <w:spacing w:val="-6"/>
          <w:sz w:val="24"/>
        </w:rPr>
      </w:pPr>
      <w:r>
        <w:rPr>
          <w:rFonts w:hint="eastAsia" w:hAnsi="宋体" w:cs="宋体"/>
          <w:b/>
          <w:spacing w:val="-6"/>
          <w:sz w:val="24"/>
        </w:rPr>
        <w:t>一、项目概况</w:t>
      </w:r>
    </w:p>
    <w:p w14:paraId="7785060B">
      <w:pPr>
        <w:tabs>
          <w:tab w:val="left" w:pos="1546"/>
        </w:tabs>
        <w:autoSpaceDE w:val="0"/>
        <w:autoSpaceDN w:val="0"/>
        <w:adjustRightInd w:val="0"/>
        <w:spacing w:line="440" w:lineRule="exact"/>
        <w:ind w:firstLine="480" w:firstLineChars="200"/>
        <w:jc w:val="left"/>
        <w:rPr>
          <w:rFonts w:hint="eastAsia" w:hAnsi="宋体" w:cs="宋体"/>
          <w:sz w:val="24"/>
        </w:rPr>
      </w:pPr>
      <w:r>
        <w:rPr>
          <w:rFonts w:hint="eastAsia" w:hAnsi="宋体" w:cs="宋体"/>
          <w:sz w:val="24"/>
        </w:rPr>
        <w:t>按照信息系统监理规范要求，为加强我院智慧医院(一期)项目建设投资、质量、进度、变更等工作的监督和管理，信息科申请购买智慧医院(一期)项目从建设到验收阶段的监理服务，预计费用:29.5万元。</w:t>
      </w:r>
    </w:p>
    <w:p w14:paraId="080B6E10">
      <w:pPr>
        <w:tabs>
          <w:tab w:val="left" w:pos="1546"/>
        </w:tabs>
        <w:autoSpaceDE w:val="0"/>
        <w:autoSpaceDN w:val="0"/>
        <w:adjustRightInd w:val="0"/>
        <w:spacing w:line="440" w:lineRule="exact"/>
        <w:ind w:firstLine="458" w:firstLineChars="200"/>
        <w:jc w:val="left"/>
        <w:outlineLvl w:val="1"/>
        <w:rPr>
          <w:rFonts w:hint="default" w:hAnsi="宋体" w:eastAsia="宋体" w:cs="宋体"/>
          <w:b/>
          <w:spacing w:val="-6"/>
          <w:sz w:val="24"/>
          <w:vertAlign w:val="baseline"/>
          <w:lang w:val="en-US" w:eastAsia="zh-CN"/>
        </w:rPr>
      </w:pPr>
      <w:r>
        <w:rPr>
          <w:rFonts w:hint="eastAsia" w:hAnsi="宋体" w:cs="宋体"/>
          <w:b/>
          <w:spacing w:val="-6"/>
          <w:sz w:val="24"/>
        </w:rPr>
        <w:t>二、</w:t>
      </w:r>
      <w:r>
        <w:rPr>
          <w:rFonts w:hint="eastAsia" w:hAnsi="宋体" w:cs="宋体"/>
          <w:b/>
          <w:spacing w:val="-6"/>
          <w:sz w:val="24"/>
          <w:lang w:val="en-US" w:eastAsia="zh-CN"/>
        </w:rPr>
        <w:t>标的情况</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3419"/>
        <w:gridCol w:w="2094"/>
        <w:gridCol w:w="2225"/>
      </w:tblGrid>
      <w:tr w14:paraId="7D0C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dxa"/>
            <w:noWrap w:val="0"/>
            <w:vAlign w:val="center"/>
          </w:tcPr>
          <w:p w14:paraId="2739022B">
            <w:pPr>
              <w:tabs>
                <w:tab w:val="left" w:pos="1546"/>
              </w:tabs>
              <w:autoSpaceDE w:val="0"/>
              <w:autoSpaceDN w:val="0"/>
              <w:adjustRightInd w:val="0"/>
              <w:spacing w:line="440" w:lineRule="exact"/>
              <w:jc w:val="center"/>
              <w:rPr>
                <w:rFonts w:hint="default" w:hAnsi="宋体" w:eastAsia="宋体" w:cs="宋体"/>
                <w:b/>
                <w:spacing w:val="-6"/>
                <w:sz w:val="24"/>
                <w:vertAlign w:val="baseline"/>
                <w:lang w:val="en-US" w:eastAsia="zh-CN"/>
              </w:rPr>
            </w:pPr>
            <w:r>
              <w:rPr>
                <w:rFonts w:hint="eastAsia" w:hAnsi="宋体" w:cs="宋体"/>
                <w:b/>
                <w:spacing w:val="-6"/>
                <w:sz w:val="24"/>
                <w:vertAlign w:val="baseline"/>
                <w:lang w:val="en-US" w:eastAsia="zh-CN"/>
              </w:rPr>
              <w:t>序号</w:t>
            </w:r>
          </w:p>
        </w:tc>
        <w:tc>
          <w:tcPr>
            <w:tcW w:w="4041" w:type="dxa"/>
            <w:noWrap w:val="0"/>
            <w:vAlign w:val="center"/>
          </w:tcPr>
          <w:p w14:paraId="5510BF7E">
            <w:pPr>
              <w:tabs>
                <w:tab w:val="left" w:pos="1546"/>
              </w:tabs>
              <w:autoSpaceDE w:val="0"/>
              <w:autoSpaceDN w:val="0"/>
              <w:adjustRightInd w:val="0"/>
              <w:spacing w:line="440" w:lineRule="exact"/>
              <w:jc w:val="center"/>
              <w:rPr>
                <w:rFonts w:hint="default" w:hAnsi="宋体" w:eastAsia="宋体" w:cs="宋体"/>
                <w:b/>
                <w:spacing w:val="-6"/>
                <w:sz w:val="24"/>
                <w:vertAlign w:val="baseline"/>
                <w:lang w:val="en-US" w:eastAsia="zh-CN"/>
              </w:rPr>
            </w:pPr>
            <w:r>
              <w:rPr>
                <w:rFonts w:hint="eastAsia" w:hAnsi="宋体" w:cs="宋体"/>
                <w:b/>
                <w:spacing w:val="-6"/>
                <w:sz w:val="24"/>
                <w:vertAlign w:val="baseline"/>
                <w:lang w:val="en-US" w:eastAsia="zh-CN"/>
              </w:rPr>
              <w:t>标的名称</w:t>
            </w:r>
          </w:p>
        </w:tc>
        <w:tc>
          <w:tcPr>
            <w:tcW w:w="2450" w:type="dxa"/>
            <w:noWrap w:val="0"/>
            <w:vAlign w:val="center"/>
          </w:tcPr>
          <w:p w14:paraId="1AD9FCD2">
            <w:pPr>
              <w:tabs>
                <w:tab w:val="left" w:pos="1546"/>
              </w:tabs>
              <w:autoSpaceDE w:val="0"/>
              <w:autoSpaceDN w:val="0"/>
              <w:adjustRightInd w:val="0"/>
              <w:spacing w:line="440" w:lineRule="exact"/>
              <w:jc w:val="center"/>
              <w:rPr>
                <w:rFonts w:hint="default" w:hAnsi="宋体" w:eastAsia="宋体" w:cs="宋体"/>
                <w:b/>
                <w:spacing w:val="-6"/>
                <w:sz w:val="24"/>
                <w:vertAlign w:val="baseline"/>
                <w:lang w:val="en-US" w:eastAsia="zh-CN"/>
              </w:rPr>
            </w:pPr>
            <w:r>
              <w:rPr>
                <w:rFonts w:hint="eastAsia" w:hAnsi="宋体" w:cs="宋体"/>
                <w:b/>
                <w:spacing w:val="-6"/>
                <w:sz w:val="24"/>
                <w:vertAlign w:val="baseline"/>
                <w:lang w:val="en-US" w:eastAsia="zh-CN"/>
              </w:rPr>
              <w:t>数量</w:t>
            </w:r>
          </w:p>
        </w:tc>
        <w:tc>
          <w:tcPr>
            <w:tcW w:w="2450" w:type="dxa"/>
            <w:noWrap w:val="0"/>
            <w:vAlign w:val="center"/>
          </w:tcPr>
          <w:p w14:paraId="3E760E68">
            <w:pPr>
              <w:tabs>
                <w:tab w:val="left" w:pos="1546"/>
              </w:tabs>
              <w:autoSpaceDE w:val="0"/>
              <w:autoSpaceDN w:val="0"/>
              <w:adjustRightInd w:val="0"/>
              <w:spacing w:line="440" w:lineRule="exact"/>
              <w:jc w:val="center"/>
              <w:rPr>
                <w:rFonts w:hint="default" w:hAnsi="宋体" w:eastAsia="宋体" w:cs="宋体"/>
                <w:b/>
                <w:spacing w:val="-6"/>
                <w:sz w:val="24"/>
                <w:vertAlign w:val="baseline"/>
                <w:lang w:val="en-US" w:eastAsia="zh-CN"/>
              </w:rPr>
            </w:pPr>
            <w:r>
              <w:rPr>
                <w:rFonts w:hint="eastAsia" w:hAnsi="宋体" w:cs="宋体"/>
                <w:b/>
                <w:spacing w:val="-6"/>
                <w:sz w:val="24"/>
                <w:vertAlign w:val="baseline"/>
                <w:lang w:val="en-US" w:eastAsia="zh-CN"/>
              </w:rPr>
              <w:t>最高限价（元）</w:t>
            </w:r>
          </w:p>
        </w:tc>
      </w:tr>
      <w:tr w14:paraId="5C758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dxa"/>
            <w:noWrap w:val="0"/>
            <w:vAlign w:val="center"/>
          </w:tcPr>
          <w:p w14:paraId="0954C178">
            <w:pPr>
              <w:tabs>
                <w:tab w:val="left" w:pos="1546"/>
              </w:tabs>
              <w:autoSpaceDE w:val="0"/>
              <w:autoSpaceDN w:val="0"/>
              <w:adjustRightInd w:val="0"/>
              <w:spacing w:line="240" w:lineRule="auto"/>
              <w:jc w:val="center"/>
              <w:rPr>
                <w:rFonts w:hint="default" w:hAnsi="宋体" w:eastAsia="宋体" w:cs="宋体"/>
                <w:b w:val="0"/>
                <w:bCs/>
                <w:spacing w:val="-6"/>
                <w:sz w:val="24"/>
                <w:vertAlign w:val="baseline"/>
                <w:lang w:val="en-US" w:eastAsia="zh-CN"/>
              </w:rPr>
            </w:pPr>
            <w:r>
              <w:rPr>
                <w:rFonts w:hint="eastAsia" w:hAnsi="宋体" w:cs="宋体"/>
                <w:b w:val="0"/>
                <w:bCs/>
                <w:spacing w:val="-6"/>
                <w:sz w:val="24"/>
                <w:vertAlign w:val="baseline"/>
                <w:lang w:val="en-US" w:eastAsia="zh-CN"/>
              </w:rPr>
              <w:t>1</w:t>
            </w:r>
          </w:p>
        </w:tc>
        <w:tc>
          <w:tcPr>
            <w:tcW w:w="4041" w:type="dxa"/>
            <w:noWrap w:val="0"/>
            <w:vAlign w:val="center"/>
          </w:tcPr>
          <w:p w14:paraId="5694910C">
            <w:pPr>
              <w:tabs>
                <w:tab w:val="left" w:pos="1546"/>
              </w:tabs>
              <w:autoSpaceDE w:val="0"/>
              <w:autoSpaceDN w:val="0"/>
              <w:adjustRightInd w:val="0"/>
              <w:spacing w:line="240" w:lineRule="auto"/>
              <w:jc w:val="center"/>
              <w:rPr>
                <w:rFonts w:hint="default" w:hAnsi="宋体" w:eastAsia="宋体" w:cs="宋体"/>
                <w:b w:val="0"/>
                <w:bCs/>
                <w:spacing w:val="-6"/>
                <w:sz w:val="24"/>
                <w:vertAlign w:val="baseline"/>
                <w:lang w:val="en-US" w:eastAsia="zh-CN"/>
              </w:rPr>
            </w:pPr>
            <w:r>
              <w:rPr>
                <w:rFonts w:hint="eastAsia" w:hAnsi="宋体" w:cs="宋体"/>
                <w:b w:val="0"/>
                <w:bCs/>
                <w:kern w:val="2"/>
                <w:sz w:val="24"/>
                <w:szCs w:val="24"/>
                <w:lang w:eastAsia="zh-CN"/>
              </w:rPr>
              <w:t>内江市第一人民医院智慧医院(一期)项目建设监理服务采购项目</w:t>
            </w:r>
          </w:p>
        </w:tc>
        <w:tc>
          <w:tcPr>
            <w:tcW w:w="2450" w:type="dxa"/>
            <w:noWrap w:val="0"/>
            <w:vAlign w:val="center"/>
          </w:tcPr>
          <w:p w14:paraId="0112BC9A">
            <w:pPr>
              <w:tabs>
                <w:tab w:val="left" w:pos="1546"/>
              </w:tabs>
              <w:autoSpaceDE w:val="0"/>
              <w:autoSpaceDN w:val="0"/>
              <w:adjustRightInd w:val="0"/>
              <w:spacing w:line="240" w:lineRule="auto"/>
              <w:jc w:val="center"/>
              <w:rPr>
                <w:rFonts w:hint="default" w:hAnsi="宋体" w:eastAsia="宋体" w:cs="宋体"/>
                <w:b w:val="0"/>
                <w:bCs/>
                <w:spacing w:val="-6"/>
                <w:sz w:val="24"/>
                <w:vertAlign w:val="baseline"/>
                <w:lang w:val="en-US" w:eastAsia="zh-CN"/>
              </w:rPr>
            </w:pPr>
            <w:r>
              <w:rPr>
                <w:rFonts w:hint="eastAsia" w:hAnsi="宋体" w:cs="宋体"/>
                <w:b w:val="0"/>
                <w:bCs/>
                <w:spacing w:val="-6"/>
                <w:sz w:val="24"/>
                <w:vertAlign w:val="baseline"/>
                <w:lang w:val="en-US" w:eastAsia="zh-CN"/>
              </w:rPr>
              <w:t>1项</w:t>
            </w:r>
          </w:p>
        </w:tc>
        <w:tc>
          <w:tcPr>
            <w:tcW w:w="2450" w:type="dxa"/>
            <w:noWrap w:val="0"/>
            <w:vAlign w:val="center"/>
          </w:tcPr>
          <w:p w14:paraId="51BB4A81">
            <w:pPr>
              <w:tabs>
                <w:tab w:val="left" w:pos="1546"/>
              </w:tabs>
              <w:autoSpaceDE w:val="0"/>
              <w:autoSpaceDN w:val="0"/>
              <w:adjustRightInd w:val="0"/>
              <w:spacing w:line="240" w:lineRule="auto"/>
              <w:jc w:val="center"/>
              <w:rPr>
                <w:rFonts w:hint="default" w:hAnsi="宋体" w:eastAsia="宋体" w:cs="宋体"/>
                <w:b w:val="0"/>
                <w:bCs/>
                <w:spacing w:val="-6"/>
                <w:sz w:val="24"/>
                <w:vertAlign w:val="baseline"/>
                <w:lang w:val="en-US" w:eastAsia="zh-CN"/>
              </w:rPr>
            </w:pPr>
            <w:r>
              <w:rPr>
                <w:rFonts w:hint="eastAsia" w:hAnsi="宋体" w:cs="宋体"/>
                <w:b w:val="0"/>
                <w:bCs/>
                <w:spacing w:val="-6"/>
                <w:sz w:val="24"/>
                <w:vertAlign w:val="baseline"/>
                <w:lang w:val="en-US" w:eastAsia="zh-CN"/>
              </w:rPr>
              <w:t>295000.00</w:t>
            </w:r>
          </w:p>
        </w:tc>
      </w:tr>
    </w:tbl>
    <w:p w14:paraId="1E52116B">
      <w:pPr>
        <w:keepNext w:val="0"/>
        <w:keepLines w:val="0"/>
        <w:pageBreakBefore w:val="0"/>
        <w:widowControl w:val="0"/>
        <w:tabs>
          <w:tab w:val="left" w:pos="1546"/>
        </w:tabs>
        <w:kinsoku/>
        <w:wordWrap/>
        <w:overflowPunct/>
        <w:topLinePunct w:val="0"/>
        <w:autoSpaceDE w:val="0"/>
        <w:autoSpaceDN w:val="0"/>
        <w:bidi w:val="0"/>
        <w:adjustRightInd w:val="0"/>
        <w:snapToGrid/>
        <w:spacing w:before="313" w:beforeLines="100" w:line="360" w:lineRule="auto"/>
        <w:ind w:firstLine="458" w:firstLineChars="200"/>
        <w:jc w:val="left"/>
        <w:textAlignment w:val="auto"/>
        <w:outlineLvl w:val="1"/>
        <w:rPr>
          <w:rFonts w:hint="eastAsia" w:hAnsi="宋体" w:cs="宋体"/>
          <w:b/>
          <w:spacing w:val="-6"/>
          <w:sz w:val="24"/>
        </w:rPr>
      </w:pPr>
      <w:r>
        <w:rPr>
          <w:rFonts w:hint="eastAsia" w:hAnsi="宋体" w:cs="宋体"/>
          <w:b/>
          <w:spacing w:val="-6"/>
          <w:sz w:val="24"/>
        </w:rPr>
        <w:t>★三、</w:t>
      </w:r>
      <w:r>
        <w:rPr>
          <w:rFonts w:hint="eastAsia" w:hAnsi="宋体" w:cs="宋体"/>
          <w:b/>
          <w:spacing w:val="-6"/>
          <w:sz w:val="24"/>
          <w:lang w:val="en-US" w:eastAsia="zh-CN"/>
        </w:rPr>
        <w:t>服务</w:t>
      </w:r>
      <w:r>
        <w:rPr>
          <w:rFonts w:hint="eastAsia" w:hAnsi="宋体" w:cs="宋体"/>
          <w:b/>
          <w:spacing w:val="-6"/>
          <w:sz w:val="24"/>
        </w:rPr>
        <w:t>要求</w:t>
      </w:r>
    </w:p>
    <w:p w14:paraId="73FE1B95">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2" w:firstLineChars="200"/>
        <w:jc w:val="left"/>
        <w:textAlignment w:val="auto"/>
        <w:outlineLvl w:val="2"/>
        <w:rPr>
          <w:rFonts w:hint="eastAsia" w:ascii="宋体" w:hAnsi="宋体" w:eastAsia="宋体" w:cs="宋体"/>
          <w:b/>
          <w:bCs w:val="0"/>
          <w:sz w:val="24"/>
          <w:szCs w:val="24"/>
        </w:rPr>
      </w:pPr>
      <w:r>
        <w:rPr>
          <w:rFonts w:hint="eastAsia" w:ascii="宋体" w:hAnsi="宋体" w:eastAsia="宋体" w:cs="宋体"/>
          <w:b/>
          <w:bCs w:val="0"/>
          <w:sz w:val="24"/>
          <w:szCs w:val="24"/>
          <w:lang w:val="en-US" w:eastAsia="zh-CN"/>
        </w:rPr>
        <w:t>1.</w:t>
      </w:r>
      <w:r>
        <w:rPr>
          <w:rFonts w:hint="eastAsia" w:ascii="宋体" w:hAnsi="宋体" w:eastAsia="宋体" w:cs="宋体"/>
          <w:b/>
          <w:bCs w:val="0"/>
          <w:sz w:val="24"/>
          <w:szCs w:val="24"/>
        </w:rPr>
        <w:t>监理工作任务及目标</w:t>
      </w:r>
    </w:p>
    <w:p w14:paraId="76FF3183">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rPr>
      </w:pPr>
      <w:r>
        <w:rPr>
          <w:rFonts w:hint="eastAsia" w:ascii="宋体" w:hAnsi="宋体" w:eastAsia="宋体" w:cs="宋体"/>
          <w:bCs/>
          <w:sz w:val="24"/>
          <w:szCs w:val="24"/>
        </w:rPr>
        <w:t>受采购人委托，代表采购人的利益，了解采购人业务目标和业务需求，依法对建设项目进行监督管理。监理工作的目标是按照《国家政务信息化项目建设管理办法》、项目建设合同、国家和行业的信息技术标准、信息系统监理国标《信息技术服务监理 第一部分:总则》GB/T19668.1以及相关分则开展监理工作。对本项目监理对象的进行全过程监理，全面履行项目质量控制、成本控制、进度控制、变更控制等方面的监理职责</w:t>
      </w:r>
      <w:r>
        <w:rPr>
          <w:rFonts w:hint="eastAsia" w:hAnsi="宋体" w:eastAsia="宋体" w:cs="宋体"/>
          <w:bCs/>
          <w:sz w:val="24"/>
          <w:szCs w:val="24"/>
          <w:lang w:eastAsia="zh-CN"/>
        </w:rPr>
        <w:t>；</w:t>
      </w:r>
      <w:r>
        <w:rPr>
          <w:rFonts w:hint="eastAsia" w:ascii="宋体" w:hAnsi="宋体" w:eastAsia="宋体" w:cs="宋体"/>
          <w:bCs/>
          <w:sz w:val="24"/>
          <w:szCs w:val="24"/>
        </w:rPr>
        <w:t>督促建设项目中标人全面落实信息系统相关安全管理目标责任制，并做好资料整理归档工作。</w:t>
      </w:r>
    </w:p>
    <w:p w14:paraId="6559A9A2">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eastAsia="zh-CN"/>
        </w:rPr>
      </w:pPr>
      <w:r>
        <w:rPr>
          <w:rFonts w:hint="eastAsia" w:ascii="宋体" w:hAnsi="宋体" w:eastAsia="宋体" w:cs="宋体"/>
          <w:bCs/>
          <w:sz w:val="24"/>
          <w:szCs w:val="24"/>
        </w:rPr>
        <w:t>1.1.质量控制目标</w:t>
      </w:r>
      <w:r>
        <w:rPr>
          <w:rFonts w:hint="eastAsia" w:hAnsi="宋体" w:eastAsia="宋体" w:cs="宋体"/>
          <w:bCs/>
          <w:sz w:val="24"/>
          <w:szCs w:val="24"/>
          <w:lang w:eastAsia="zh-CN"/>
        </w:rPr>
        <w:t>：</w:t>
      </w:r>
      <w:r>
        <w:rPr>
          <w:rFonts w:hint="eastAsia" w:ascii="宋体" w:hAnsi="宋体" w:eastAsia="宋体" w:cs="宋体"/>
          <w:bCs/>
          <w:sz w:val="24"/>
          <w:szCs w:val="24"/>
        </w:rPr>
        <w:t>通过履约验收，并验收合格</w:t>
      </w:r>
      <w:r>
        <w:rPr>
          <w:rFonts w:hint="eastAsia" w:hAnsi="宋体" w:eastAsia="宋体" w:cs="宋体"/>
          <w:bCs/>
          <w:sz w:val="24"/>
          <w:szCs w:val="24"/>
          <w:lang w:eastAsia="zh-CN"/>
        </w:rPr>
        <w:t>；</w:t>
      </w:r>
    </w:p>
    <w:p w14:paraId="55015F61">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eastAsia="zh-CN"/>
        </w:rPr>
      </w:pPr>
      <w:r>
        <w:rPr>
          <w:rFonts w:hint="eastAsia" w:ascii="宋体" w:hAnsi="宋体" w:eastAsia="宋体" w:cs="宋体"/>
          <w:bCs/>
          <w:sz w:val="24"/>
          <w:szCs w:val="24"/>
        </w:rPr>
        <w:t>1.2.工期控制目标</w:t>
      </w:r>
      <w:r>
        <w:rPr>
          <w:rFonts w:hint="eastAsia" w:hAnsi="宋体" w:eastAsia="宋体" w:cs="宋体"/>
          <w:bCs/>
          <w:sz w:val="24"/>
          <w:szCs w:val="24"/>
          <w:lang w:eastAsia="zh-CN"/>
        </w:rPr>
        <w:t>：</w:t>
      </w:r>
      <w:r>
        <w:rPr>
          <w:rFonts w:hint="eastAsia" w:ascii="宋体" w:hAnsi="宋体" w:eastAsia="宋体" w:cs="宋体"/>
          <w:bCs/>
          <w:sz w:val="24"/>
          <w:szCs w:val="24"/>
        </w:rPr>
        <w:t>项目应当在建设项目合同工期内完成</w:t>
      </w:r>
      <w:r>
        <w:rPr>
          <w:rFonts w:hint="eastAsia" w:hAnsi="宋体" w:eastAsia="宋体" w:cs="宋体"/>
          <w:bCs/>
          <w:sz w:val="24"/>
          <w:szCs w:val="24"/>
          <w:lang w:eastAsia="zh-CN"/>
        </w:rPr>
        <w:t>；</w:t>
      </w:r>
    </w:p>
    <w:p w14:paraId="3D4C24E4">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eastAsia="zh-CN"/>
        </w:rPr>
      </w:pPr>
      <w:r>
        <w:rPr>
          <w:rFonts w:hint="eastAsia" w:ascii="宋体" w:hAnsi="宋体" w:eastAsia="宋体" w:cs="宋体"/>
          <w:bCs/>
          <w:sz w:val="24"/>
          <w:szCs w:val="24"/>
        </w:rPr>
        <w:t>1.3.投资控制目标</w:t>
      </w:r>
      <w:r>
        <w:rPr>
          <w:rFonts w:hint="eastAsia" w:hAnsi="宋体" w:eastAsia="宋体" w:cs="宋体"/>
          <w:bCs/>
          <w:sz w:val="24"/>
          <w:szCs w:val="24"/>
          <w:lang w:eastAsia="zh-CN"/>
        </w:rPr>
        <w:t>：</w:t>
      </w:r>
      <w:r>
        <w:rPr>
          <w:rFonts w:hint="eastAsia" w:ascii="宋体" w:hAnsi="宋体" w:eastAsia="宋体" w:cs="宋体"/>
          <w:bCs/>
          <w:sz w:val="24"/>
          <w:szCs w:val="24"/>
        </w:rPr>
        <w:t>项目总投资必须严格控制在批复概算范围,各子项目金额相应控制在建设项目中标价以内</w:t>
      </w:r>
      <w:r>
        <w:rPr>
          <w:rFonts w:hint="eastAsia" w:hAnsi="宋体" w:eastAsia="宋体" w:cs="宋体"/>
          <w:bCs/>
          <w:sz w:val="24"/>
          <w:szCs w:val="24"/>
          <w:lang w:eastAsia="zh-CN"/>
        </w:rPr>
        <w:t>；</w:t>
      </w:r>
    </w:p>
    <w:p w14:paraId="4D182E25">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rPr>
      </w:pPr>
      <w:r>
        <w:rPr>
          <w:rFonts w:hint="eastAsia" w:ascii="宋体" w:hAnsi="宋体" w:eastAsia="宋体" w:cs="宋体"/>
          <w:bCs/>
          <w:sz w:val="24"/>
          <w:szCs w:val="24"/>
        </w:rPr>
        <w:t>1.4.安全管理目标:不发生实施安全及信息安全事故。</w:t>
      </w:r>
    </w:p>
    <w:p w14:paraId="4DD30C16">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2" w:firstLineChars="200"/>
        <w:jc w:val="left"/>
        <w:textAlignment w:val="auto"/>
        <w:outlineLvl w:val="2"/>
        <w:rPr>
          <w:rFonts w:hint="eastAsia" w:ascii="宋体" w:hAnsi="宋体" w:eastAsia="宋体" w:cs="宋体"/>
          <w:b/>
          <w:bCs w:val="0"/>
          <w:sz w:val="24"/>
          <w:szCs w:val="24"/>
        </w:rPr>
      </w:pPr>
      <w:r>
        <w:rPr>
          <w:rFonts w:hint="eastAsia" w:ascii="宋体" w:hAnsi="宋体" w:eastAsia="宋体" w:cs="宋体"/>
          <w:b/>
          <w:bCs w:val="0"/>
          <w:sz w:val="24"/>
          <w:szCs w:val="24"/>
          <w:lang w:val="en-US" w:eastAsia="zh-CN"/>
        </w:rPr>
        <w:t>2.</w:t>
      </w:r>
      <w:r>
        <w:rPr>
          <w:rFonts w:hint="eastAsia" w:ascii="宋体" w:hAnsi="宋体" w:eastAsia="宋体" w:cs="宋体"/>
          <w:b/>
          <w:bCs w:val="0"/>
          <w:sz w:val="24"/>
          <w:szCs w:val="24"/>
        </w:rPr>
        <w:t>监理工作范围</w:t>
      </w:r>
    </w:p>
    <w:p w14:paraId="7541A2A0">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rPr>
      </w:pPr>
      <w:r>
        <w:rPr>
          <w:rFonts w:hint="eastAsia" w:ascii="宋体" w:hAnsi="宋体" w:eastAsia="宋体" w:cs="宋体"/>
          <w:bCs/>
          <w:sz w:val="24"/>
          <w:szCs w:val="24"/>
        </w:rPr>
        <w:t>供应商根据批准后的项目设计方案，协助采购人建立项目启动、项目执行、项目验收等全过程的项目管理体系，分析项目的建设任务和特点，提供包括但不限于质量控制、进度控制、投资控制、变更控制、合同管理、文档管理、安全管理及组织协调等全过程的监理服务，以支持项目各阶段建设目标的顺利实现。</w:t>
      </w:r>
    </w:p>
    <w:p w14:paraId="67151CDD">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rPr>
      </w:pPr>
      <w:r>
        <w:rPr>
          <w:rFonts w:hint="eastAsia" w:ascii="宋体" w:hAnsi="宋体" w:eastAsia="宋体" w:cs="宋体"/>
          <w:bCs/>
          <w:sz w:val="24"/>
          <w:szCs w:val="24"/>
        </w:rPr>
        <w:t>供应商应对项目实施的关键点进行监理，要全方位地开展监理工作。供应商应在保证其客观性和公证性的基础上，按照合同的要求和信息技术服务监理规范，在项目建设期内对项目进行监理。</w:t>
      </w:r>
    </w:p>
    <w:p w14:paraId="042AC378">
      <w:pPr>
        <w:pStyle w:val="2"/>
        <w:keepNext w:val="0"/>
        <w:keepLines w:val="0"/>
        <w:pageBreakBefore w:val="0"/>
        <w:widowControl w:val="0"/>
        <w:kinsoku/>
        <w:wordWrap w:val="0"/>
        <w:overflowPunct/>
        <w:topLinePunct w:val="0"/>
        <w:autoSpaceDE/>
        <w:autoSpaceDN/>
        <w:bidi w:val="0"/>
        <w:adjustRightInd/>
        <w:snapToGrid/>
        <w:spacing w:after="0" w:line="360" w:lineRule="auto"/>
        <w:ind w:firstLine="482" w:firstLineChars="200"/>
        <w:jc w:val="left"/>
        <w:textAlignment w:val="auto"/>
        <w:outlineLvl w:val="2"/>
        <w:rPr>
          <w:rFonts w:hint="eastAsia" w:ascii="宋体" w:hAnsi="宋体" w:eastAsia="宋体" w:cs="宋体"/>
          <w:b/>
          <w:bCs w:val="0"/>
          <w:sz w:val="24"/>
          <w:szCs w:val="24"/>
          <w:lang w:val="en-US" w:eastAsia="zh-CN" w:bidi="ar-SA"/>
        </w:rPr>
      </w:pPr>
      <w:r>
        <w:rPr>
          <w:rFonts w:hint="eastAsia" w:ascii="宋体" w:hAnsi="宋体" w:eastAsia="宋体" w:cs="宋体"/>
          <w:b/>
          <w:bCs w:val="0"/>
          <w:sz w:val="24"/>
          <w:szCs w:val="24"/>
          <w:lang w:val="en-US" w:eastAsia="zh-CN" w:bidi="ar-SA"/>
        </w:rPr>
        <w:t>3.监理服务依据</w:t>
      </w:r>
    </w:p>
    <w:p w14:paraId="26A019D6">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GB/T 19668.1-2014-信息技术服务监理-第1部分</w:t>
      </w:r>
      <w:r>
        <w:rPr>
          <w:rFonts w:hint="eastAsia" w:ascii="宋体" w:hAnsi="宋体" w:cs="宋体"/>
          <w:bCs/>
          <w:sz w:val="24"/>
          <w:szCs w:val="24"/>
          <w:lang w:val="en-US" w:eastAsia="zh-CN" w:bidi="ar-SA"/>
        </w:rPr>
        <w:t>：</w:t>
      </w:r>
      <w:r>
        <w:rPr>
          <w:rFonts w:hint="eastAsia" w:ascii="宋体" w:hAnsi="宋体" w:eastAsia="宋体" w:cs="宋体"/>
          <w:bCs/>
          <w:sz w:val="24"/>
          <w:szCs w:val="24"/>
          <w:lang w:val="en-US" w:eastAsia="zh-CN" w:bidi="ar-SA"/>
        </w:rPr>
        <w:t>总则</w:t>
      </w:r>
      <w:r>
        <w:rPr>
          <w:rFonts w:hint="eastAsia" w:ascii="宋体" w:hAnsi="宋体" w:cs="宋体"/>
          <w:bCs/>
          <w:sz w:val="24"/>
          <w:szCs w:val="24"/>
          <w:lang w:val="en-US" w:eastAsia="zh-CN" w:bidi="ar-SA"/>
        </w:rPr>
        <w:t>；</w:t>
      </w:r>
    </w:p>
    <w:p w14:paraId="2D89AB1E">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GB/T 19668.2-2017-信息技术服务监理-第2部分</w:t>
      </w:r>
      <w:r>
        <w:rPr>
          <w:rFonts w:hint="eastAsia" w:ascii="宋体" w:hAnsi="宋体" w:cs="宋体"/>
          <w:bCs/>
          <w:sz w:val="24"/>
          <w:szCs w:val="24"/>
          <w:lang w:val="en-US" w:eastAsia="zh-CN" w:bidi="ar-SA"/>
        </w:rPr>
        <w:t>：</w:t>
      </w:r>
      <w:r>
        <w:rPr>
          <w:rFonts w:hint="eastAsia" w:ascii="宋体" w:hAnsi="宋体" w:eastAsia="宋体" w:cs="宋体"/>
          <w:bCs/>
          <w:sz w:val="24"/>
          <w:szCs w:val="24"/>
          <w:lang w:val="en-US" w:eastAsia="zh-CN" w:bidi="ar-SA"/>
        </w:rPr>
        <w:t>基础设施工程监理规范</w:t>
      </w:r>
      <w:r>
        <w:rPr>
          <w:rFonts w:hint="eastAsia" w:ascii="宋体" w:hAnsi="宋体" w:cs="宋体"/>
          <w:bCs/>
          <w:sz w:val="24"/>
          <w:szCs w:val="24"/>
          <w:lang w:val="en-US" w:eastAsia="zh-CN" w:bidi="ar-SA"/>
        </w:rPr>
        <w:t>；</w:t>
      </w:r>
    </w:p>
    <w:p w14:paraId="33B72775">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CB/T 19668.3-2017-信息技术服务监理-第3部分</w:t>
      </w:r>
      <w:r>
        <w:rPr>
          <w:rFonts w:hint="eastAsia" w:ascii="宋体" w:hAnsi="宋体" w:cs="宋体"/>
          <w:bCs/>
          <w:sz w:val="24"/>
          <w:szCs w:val="24"/>
          <w:lang w:val="en-US" w:eastAsia="zh-CN" w:bidi="ar-SA"/>
        </w:rPr>
        <w:t>：</w:t>
      </w:r>
      <w:r>
        <w:rPr>
          <w:rFonts w:hint="eastAsia" w:ascii="宋体" w:hAnsi="宋体" w:eastAsia="宋体" w:cs="宋体"/>
          <w:bCs/>
          <w:sz w:val="24"/>
          <w:szCs w:val="24"/>
          <w:lang w:val="en-US" w:eastAsia="zh-CN" w:bidi="ar-SA"/>
        </w:rPr>
        <w:t>运行维护监理规范</w:t>
      </w:r>
      <w:r>
        <w:rPr>
          <w:rFonts w:hint="eastAsia" w:ascii="宋体" w:hAnsi="宋体" w:cs="宋体"/>
          <w:bCs/>
          <w:sz w:val="24"/>
          <w:szCs w:val="24"/>
          <w:lang w:val="en-US" w:eastAsia="zh-CN" w:bidi="ar-SA"/>
        </w:rPr>
        <w:t>；</w:t>
      </w:r>
    </w:p>
    <w:p w14:paraId="304D7EE2">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GB/T 19668.4-2017-信息技术服务监理-第4部分</w:t>
      </w:r>
      <w:r>
        <w:rPr>
          <w:rFonts w:hint="eastAsia" w:ascii="宋体" w:hAnsi="宋体" w:cs="宋体"/>
          <w:bCs/>
          <w:sz w:val="24"/>
          <w:szCs w:val="24"/>
          <w:lang w:val="en-US" w:eastAsia="zh-CN" w:bidi="ar-SA"/>
        </w:rPr>
        <w:t>：</w:t>
      </w:r>
      <w:r>
        <w:rPr>
          <w:rFonts w:hint="eastAsia" w:ascii="宋体" w:hAnsi="宋体" w:eastAsia="宋体" w:cs="宋体"/>
          <w:bCs/>
          <w:sz w:val="24"/>
          <w:szCs w:val="24"/>
          <w:lang w:val="en-US" w:eastAsia="zh-CN" w:bidi="ar-SA"/>
        </w:rPr>
        <w:t>信息安全监理规范</w:t>
      </w:r>
      <w:r>
        <w:rPr>
          <w:rFonts w:hint="eastAsia" w:ascii="宋体" w:hAnsi="宋体" w:cs="宋体"/>
          <w:bCs/>
          <w:sz w:val="24"/>
          <w:szCs w:val="24"/>
          <w:lang w:val="en-US" w:eastAsia="zh-CN" w:bidi="ar-SA"/>
        </w:rPr>
        <w:t>；</w:t>
      </w:r>
    </w:p>
    <w:p w14:paraId="6041A05A">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GB/T 19668.5-2018-信息技术服务监理-第5部分</w:t>
      </w:r>
      <w:r>
        <w:rPr>
          <w:rFonts w:hint="eastAsia" w:ascii="宋体" w:hAnsi="宋体" w:cs="宋体"/>
          <w:bCs/>
          <w:sz w:val="24"/>
          <w:szCs w:val="24"/>
          <w:lang w:val="en-US" w:eastAsia="zh-CN" w:bidi="ar-SA"/>
        </w:rPr>
        <w:t>：</w:t>
      </w:r>
      <w:r>
        <w:rPr>
          <w:rFonts w:hint="eastAsia" w:ascii="宋体" w:hAnsi="宋体" w:eastAsia="宋体" w:cs="宋体"/>
          <w:bCs/>
          <w:sz w:val="24"/>
          <w:szCs w:val="24"/>
          <w:lang w:val="en-US" w:eastAsia="zh-CN" w:bidi="ar-SA"/>
        </w:rPr>
        <w:t>软件工程监理规范</w:t>
      </w:r>
      <w:r>
        <w:rPr>
          <w:rFonts w:hint="eastAsia" w:ascii="宋体" w:hAnsi="宋体" w:cs="宋体"/>
          <w:bCs/>
          <w:sz w:val="24"/>
          <w:szCs w:val="24"/>
          <w:lang w:val="en-US" w:eastAsia="zh-CN" w:bidi="ar-SA"/>
        </w:rPr>
        <w:t>；</w:t>
      </w:r>
    </w:p>
    <w:p w14:paraId="3EDA28F6">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GB/T 19668.6-2019-信息技术服务监理-第6部分</w:t>
      </w:r>
      <w:r>
        <w:rPr>
          <w:rFonts w:hint="eastAsia" w:ascii="宋体" w:hAnsi="宋体" w:cs="宋体"/>
          <w:bCs/>
          <w:sz w:val="24"/>
          <w:szCs w:val="24"/>
          <w:lang w:val="en-US" w:eastAsia="zh-CN" w:bidi="ar-SA"/>
        </w:rPr>
        <w:t>：</w:t>
      </w:r>
      <w:r>
        <w:rPr>
          <w:rFonts w:hint="eastAsia" w:ascii="宋体" w:hAnsi="宋体" w:eastAsia="宋体" w:cs="宋体"/>
          <w:bCs/>
          <w:sz w:val="24"/>
          <w:szCs w:val="24"/>
          <w:lang w:val="en-US" w:eastAsia="zh-CN" w:bidi="ar-SA"/>
        </w:rPr>
        <w:t>应用系统数据中心工程监理规范</w:t>
      </w:r>
      <w:r>
        <w:rPr>
          <w:rFonts w:hint="eastAsia" w:ascii="宋体" w:hAnsi="宋体" w:cs="宋体"/>
          <w:bCs/>
          <w:sz w:val="24"/>
          <w:szCs w:val="24"/>
          <w:lang w:val="en-US" w:eastAsia="zh-CN" w:bidi="ar-SA"/>
        </w:rPr>
        <w:t>；</w:t>
      </w:r>
    </w:p>
    <w:p w14:paraId="23B42102">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采购人与中标供应商签订的监理合同</w:t>
      </w:r>
      <w:r>
        <w:rPr>
          <w:rFonts w:hint="eastAsia" w:ascii="宋体" w:hAnsi="宋体" w:cs="宋体"/>
          <w:bCs/>
          <w:sz w:val="24"/>
          <w:szCs w:val="24"/>
          <w:lang w:val="en-US" w:eastAsia="zh-CN" w:bidi="ar-SA"/>
        </w:rPr>
        <w:t>；</w:t>
      </w:r>
    </w:p>
    <w:p w14:paraId="0CD6CF40">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采购人与建设项目中标人(下称:承建方)签订的项目建设或服务合同</w:t>
      </w:r>
      <w:r>
        <w:rPr>
          <w:rFonts w:hint="eastAsia" w:ascii="宋体" w:hAnsi="宋体" w:cs="宋体"/>
          <w:bCs/>
          <w:sz w:val="24"/>
          <w:szCs w:val="24"/>
          <w:lang w:val="en-US" w:eastAsia="zh-CN" w:bidi="ar-SA"/>
        </w:rPr>
        <w:t>；</w:t>
      </w:r>
    </w:p>
    <w:p w14:paraId="5A51FD1C">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设计方案及本项目采购文件、中标供应商投标文件约定的技术质量标准。</w:t>
      </w:r>
    </w:p>
    <w:p w14:paraId="5CE8A1C7">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2" w:firstLineChars="200"/>
        <w:jc w:val="left"/>
        <w:textAlignment w:val="auto"/>
        <w:outlineLvl w:val="2"/>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4.监理工作内容</w:t>
      </w:r>
    </w:p>
    <w:p w14:paraId="27716150">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4.1.质量控制</w:t>
      </w:r>
    </w:p>
    <w:p w14:paraId="3303D26A">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协助采购人开展工程质量控制工作，包括但不限于以下工作:</w:t>
      </w:r>
    </w:p>
    <w:p w14:paraId="703AFF0A">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(1)协助采购人对项目承建方提出的项目总体实施方案、概要设计方案、详细设计方案、系统实施部署方案、集成方案、测试方案、验收方案、里程碑节点设置计划等进行审核，对软硬件集成和系统部署实施等过程资料进行审查，并以书面形式提出监理意见</w:t>
      </w:r>
      <w:r>
        <w:rPr>
          <w:rFonts w:hint="eastAsia" w:hAnsi="宋体" w:eastAsia="宋体" w:cs="宋体"/>
          <w:bCs/>
          <w:sz w:val="24"/>
          <w:szCs w:val="24"/>
          <w:lang w:val="en-US" w:eastAsia="zh-CN"/>
        </w:rPr>
        <w:t>；</w:t>
      </w:r>
    </w:p>
    <w:p w14:paraId="33383FBF">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(2)协助采购人做好项目集成方案和项目各子系统设计方案的审核和确认，并以书面形式提出监理意见</w:t>
      </w:r>
      <w:r>
        <w:rPr>
          <w:rFonts w:hint="eastAsia" w:hAnsi="宋体" w:eastAsia="宋体" w:cs="宋体"/>
          <w:bCs/>
          <w:sz w:val="24"/>
          <w:szCs w:val="24"/>
          <w:lang w:val="en-US" w:eastAsia="zh-CN"/>
        </w:rPr>
        <w:t>；</w:t>
      </w:r>
    </w:p>
    <w:p w14:paraId="6F28B4DF">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(3)在实施过程中确定质量控制基线，全程、实时地参与项目建设，检查、督促承建方严格按合同和施工规范、保密标准、相关技术标准、设计要求进行实施，监督承建方现场施工管理，特别注重关键节点、重要质量控制点及隐蔽性工程的现场监督</w:t>
      </w:r>
      <w:r>
        <w:rPr>
          <w:rFonts w:hint="eastAsia" w:hAnsi="宋体" w:eastAsia="宋体" w:cs="宋体"/>
          <w:bCs/>
          <w:sz w:val="24"/>
          <w:szCs w:val="24"/>
          <w:lang w:val="en-US" w:eastAsia="zh-CN"/>
        </w:rPr>
        <w:t>；</w:t>
      </w:r>
    </w:p>
    <w:p w14:paraId="0A6A6779">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(4)监督工程中所使用的产品和服务符合承建合同及国家相关法律、法规和标准</w:t>
      </w:r>
      <w:r>
        <w:rPr>
          <w:rFonts w:hint="eastAsia" w:hAnsi="宋体" w:eastAsia="宋体" w:cs="宋体"/>
          <w:bCs/>
          <w:sz w:val="24"/>
          <w:szCs w:val="24"/>
          <w:lang w:val="en-US" w:eastAsia="zh-CN"/>
        </w:rPr>
        <w:t>，</w:t>
      </w:r>
      <w:r>
        <w:rPr>
          <w:rFonts w:hint="eastAsia" w:ascii="宋体" w:hAnsi="宋体" w:eastAsia="宋体" w:cs="宋体"/>
          <w:bCs/>
          <w:sz w:val="24"/>
          <w:szCs w:val="24"/>
          <w:lang w:val="en-US" w:eastAsia="zh-CN"/>
        </w:rPr>
        <w:t>做好货物及服务验收工作，审查承建方采购清单，检查项目使用材料、设备的规格型号、配置、质量与数量</w:t>
      </w:r>
      <w:r>
        <w:rPr>
          <w:rFonts w:hint="eastAsia" w:hAnsi="宋体" w:eastAsia="宋体" w:cs="宋体"/>
          <w:bCs/>
          <w:sz w:val="24"/>
          <w:szCs w:val="24"/>
          <w:lang w:val="en-US" w:eastAsia="zh-CN"/>
        </w:rPr>
        <w:t>；</w:t>
      </w:r>
      <w:r>
        <w:rPr>
          <w:rFonts w:hint="eastAsia" w:ascii="宋体" w:hAnsi="宋体" w:eastAsia="宋体" w:cs="宋体"/>
          <w:bCs/>
          <w:sz w:val="24"/>
          <w:szCs w:val="24"/>
          <w:lang w:val="en-US" w:eastAsia="zh-CN"/>
        </w:rPr>
        <w:t>负责对采购的硬件设备和软件产品的合格证、检测报告和准用证进行审查，对采购的各类设备及建成的系统进行符合性测试，进行子项验收并出具验收报告</w:t>
      </w:r>
      <w:r>
        <w:rPr>
          <w:rFonts w:hint="eastAsia" w:hAnsi="宋体" w:eastAsia="宋体" w:cs="宋体"/>
          <w:bCs/>
          <w:sz w:val="24"/>
          <w:szCs w:val="24"/>
          <w:lang w:val="en-US" w:eastAsia="zh-CN"/>
        </w:rPr>
        <w:t>；</w:t>
      </w:r>
    </w:p>
    <w:p w14:paraId="58CF678C">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(5)协助采购人对设备安装、系统软件的安装调试和应用系统的部署组织验收，并以书面形式提出监理意见</w:t>
      </w:r>
      <w:r>
        <w:rPr>
          <w:rFonts w:hint="eastAsia" w:ascii="宋体" w:hAnsi="宋体" w:cs="宋体"/>
          <w:bCs/>
          <w:sz w:val="24"/>
          <w:szCs w:val="24"/>
          <w:lang w:val="en-US" w:eastAsia="zh-CN" w:bidi="ar-SA"/>
        </w:rPr>
        <w:t>；</w:t>
      </w:r>
    </w:p>
    <w:p w14:paraId="45ACBEE7">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(6)监督项目承建方的系统集成工作，并以书面形式提出监理意见</w:t>
      </w:r>
      <w:r>
        <w:rPr>
          <w:rFonts w:hint="eastAsia" w:ascii="宋体" w:hAnsi="宋体" w:cs="宋体"/>
          <w:bCs/>
          <w:sz w:val="24"/>
          <w:szCs w:val="24"/>
          <w:lang w:val="en-US" w:eastAsia="zh-CN" w:bidi="ar-SA"/>
        </w:rPr>
        <w:t>；</w:t>
      </w:r>
    </w:p>
    <w:p w14:paraId="056711A0">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(7)</w:t>
      </w:r>
      <w:r>
        <w:rPr>
          <w:rFonts w:hint="eastAsia" w:ascii="宋体" w:hAnsi="宋体" w:cs="宋体"/>
          <w:bCs/>
          <w:sz w:val="24"/>
          <w:szCs w:val="24"/>
          <w:lang w:val="en-US" w:eastAsia="zh-CN" w:bidi="ar-SA"/>
        </w:rPr>
        <w:t>负责</w:t>
      </w:r>
      <w:r>
        <w:rPr>
          <w:rFonts w:hint="eastAsia" w:ascii="宋体" w:hAnsi="宋体" w:eastAsia="宋体" w:cs="宋体"/>
          <w:bCs/>
          <w:sz w:val="24"/>
          <w:szCs w:val="24"/>
          <w:lang w:val="en-US" w:eastAsia="zh-CN" w:bidi="ar-SA"/>
        </w:rPr>
        <w:t>审核项目承建方、第三方软件测评机构提交的应用系统测试方案(计划)和报告，保证测试方案和报告的有效性和对功能点、各项验收指标的</w:t>
      </w:r>
      <w:r>
        <w:rPr>
          <w:rFonts w:hint="eastAsia" w:ascii="宋体" w:hAnsi="宋体" w:cs="宋体"/>
          <w:bCs/>
          <w:sz w:val="24"/>
          <w:szCs w:val="24"/>
          <w:lang w:val="en-US" w:eastAsia="zh-CN" w:bidi="ar-SA"/>
        </w:rPr>
        <w:t>覆盖</w:t>
      </w:r>
      <w:r>
        <w:rPr>
          <w:rFonts w:hint="eastAsia" w:ascii="宋体" w:hAnsi="宋体" w:eastAsia="宋体" w:cs="宋体"/>
          <w:bCs/>
          <w:sz w:val="24"/>
          <w:szCs w:val="24"/>
          <w:lang w:val="en-US" w:eastAsia="zh-CN" w:bidi="ar-SA"/>
        </w:rPr>
        <w:t>，并以书面形式提出监理意见</w:t>
      </w:r>
      <w:r>
        <w:rPr>
          <w:rFonts w:hint="eastAsia" w:ascii="宋体" w:hAnsi="宋体" w:cs="宋体"/>
          <w:bCs/>
          <w:sz w:val="24"/>
          <w:szCs w:val="24"/>
          <w:lang w:val="en-US" w:eastAsia="zh-CN" w:bidi="ar-SA"/>
        </w:rPr>
        <w:t>；</w:t>
      </w:r>
    </w:p>
    <w:p w14:paraId="3D7FA25D">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(8)负责监督项目承建方对应用系统进行测试工作，对测试报告内容进行检查，并审查部分测试结果，直至测试合格，并以书面形式提出监理意见</w:t>
      </w:r>
      <w:r>
        <w:rPr>
          <w:rFonts w:hint="eastAsia" w:ascii="宋体" w:hAnsi="宋体" w:cs="宋体"/>
          <w:bCs/>
          <w:sz w:val="24"/>
          <w:szCs w:val="24"/>
          <w:lang w:val="en-US" w:eastAsia="zh-CN" w:bidi="ar-SA"/>
        </w:rPr>
        <w:t>；</w:t>
      </w:r>
    </w:p>
    <w:p w14:paraId="659DBB8B">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(9)协助采购人组织竣工总体验收，协助采购人进行竣工验收完毕进入质保阶段的审核。</w:t>
      </w:r>
    </w:p>
    <w:p w14:paraId="367C3A33">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4.2.进度控制</w:t>
      </w:r>
    </w:p>
    <w:p w14:paraId="23E6A1FE">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hAnsi="宋体" w:eastAsia="宋体" w:cs="宋体"/>
          <w:bCs/>
          <w:sz w:val="24"/>
          <w:szCs w:val="24"/>
          <w:lang w:val="en-US" w:eastAsia="zh-CN"/>
        </w:rPr>
      </w:pPr>
      <w:r>
        <w:rPr>
          <w:rFonts w:hint="eastAsia" w:ascii="宋体" w:hAnsi="宋体" w:eastAsia="宋体" w:cs="宋体"/>
          <w:bCs/>
          <w:sz w:val="24"/>
          <w:szCs w:val="24"/>
          <w:lang w:val="en-US" w:eastAsia="zh-CN"/>
        </w:rPr>
        <w:t>(1)审核承建方的进度分解计划，确认分解计划可以保证总体计划目标</w:t>
      </w:r>
      <w:r>
        <w:rPr>
          <w:rFonts w:hint="eastAsia" w:hAnsi="宋体" w:eastAsia="宋体" w:cs="宋体"/>
          <w:bCs/>
          <w:sz w:val="24"/>
          <w:szCs w:val="24"/>
          <w:lang w:val="en-US" w:eastAsia="zh-CN"/>
        </w:rPr>
        <w:t>；</w:t>
      </w:r>
    </w:p>
    <w:p w14:paraId="01AD7816">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(2)对项目实施进度进行实时跟踪,并要求承建方按项目总进度计划进行动态调整以确保项目的阶段目标和总体进度目标的实现</w:t>
      </w:r>
      <w:r>
        <w:rPr>
          <w:rFonts w:hint="eastAsia" w:hAnsi="宋体" w:eastAsia="宋体" w:cs="宋体"/>
          <w:bCs/>
          <w:sz w:val="24"/>
          <w:szCs w:val="24"/>
          <w:lang w:val="en-US" w:eastAsia="zh-CN"/>
        </w:rPr>
        <w:t>；</w:t>
      </w:r>
    </w:p>
    <w:p w14:paraId="30AB51BC">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(3)配合采购人对项目实施过程中发生的需求变更进行分析、管理和认定，以确保项目的阶段目标和总体进度目标的实现</w:t>
      </w:r>
      <w:r>
        <w:rPr>
          <w:rFonts w:hint="eastAsia" w:hAnsi="宋体" w:eastAsia="宋体" w:cs="宋体"/>
          <w:bCs/>
          <w:sz w:val="24"/>
          <w:szCs w:val="24"/>
          <w:lang w:val="en-US" w:eastAsia="zh-CN"/>
        </w:rPr>
        <w:t>；</w:t>
      </w:r>
    </w:p>
    <w:p w14:paraId="5D4543F5">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(4)当工期目标发生偏离或出现风险时，应在24小时内指出，并提出对策建议，同时督促承建方 48 小时内采取措施。</w:t>
      </w:r>
    </w:p>
    <w:p w14:paraId="5E6A7E9A">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4.3.投资控制</w:t>
      </w:r>
    </w:p>
    <w:p w14:paraId="68195A51">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(1)对项目实施中的设计优化方案或措施进行评审，对项目建设不可预见性造成风险性支出进行技术性审核，提出意见</w:t>
      </w:r>
      <w:r>
        <w:rPr>
          <w:rFonts w:hint="eastAsia" w:hAnsi="宋体" w:eastAsia="宋体" w:cs="宋体"/>
          <w:bCs/>
          <w:sz w:val="24"/>
          <w:szCs w:val="24"/>
          <w:lang w:val="en-US" w:eastAsia="zh-CN"/>
        </w:rPr>
        <w:t>；</w:t>
      </w:r>
    </w:p>
    <w:p w14:paraId="2FBBED71">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(2)对因项目变更导致的费用变化进行审查</w:t>
      </w:r>
      <w:r>
        <w:rPr>
          <w:rFonts w:hint="eastAsia" w:hAnsi="宋体" w:eastAsia="宋体" w:cs="宋体"/>
          <w:bCs/>
          <w:sz w:val="24"/>
          <w:szCs w:val="24"/>
          <w:lang w:val="en-US" w:eastAsia="zh-CN"/>
        </w:rPr>
        <w:t>；</w:t>
      </w:r>
    </w:p>
    <w:p w14:paraId="5E0A9485">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(3)协助采购人做好项目进度付款前的项目完成量确认。</w:t>
      </w:r>
    </w:p>
    <w:p w14:paraId="05615C42">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4.4.变更控制</w:t>
      </w:r>
    </w:p>
    <w:p w14:paraId="49544B59">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(1)建立符合本次项目实施及管理的变更管理机制,通过变更控制机制对项目计划流程、预算、进度或可交付成果的变更</w:t>
      </w:r>
      <w:r>
        <w:rPr>
          <w:rFonts w:hint="eastAsia" w:hAnsi="宋体" w:eastAsia="宋体" w:cs="宋体"/>
          <w:bCs/>
          <w:sz w:val="24"/>
          <w:szCs w:val="24"/>
          <w:lang w:val="en-US" w:eastAsia="zh-CN"/>
        </w:rPr>
        <w:t>申请</w:t>
      </w:r>
      <w:r>
        <w:rPr>
          <w:rFonts w:hint="eastAsia" w:ascii="宋体" w:hAnsi="宋体" w:eastAsia="宋体" w:cs="宋体"/>
          <w:bCs/>
          <w:sz w:val="24"/>
          <w:szCs w:val="24"/>
          <w:lang w:val="en-US" w:eastAsia="zh-CN"/>
        </w:rPr>
        <w:t>进行评估，书面出具是否同意进行的变更审查意见</w:t>
      </w:r>
      <w:r>
        <w:rPr>
          <w:rFonts w:hint="eastAsia" w:hAnsi="宋体" w:eastAsia="宋体" w:cs="宋体"/>
          <w:bCs/>
          <w:sz w:val="24"/>
          <w:szCs w:val="24"/>
          <w:lang w:val="en-US" w:eastAsia="zh-CN"/>
        </w:rPr>
        <w:t>；</w:t>
      </w:r>
    </w:p>
    <w:p w14:paraId="750109BD">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(2)通过对项目计划、费用、质量和进度的影响进行分析，对变更风险以及变更效果进行定性定价预测，列出风险清单和变更效果预测数据，审核变更方案，提出监理意见</w:t>
      </w:r>
      <w:r>
        <w:rPr>
          <w:rFonts w:hint="eastAsia" w:ascii="宋体" w:hAnsi="宋体" w:cs="宋体"/>
          <w:bCs/>
          <w:sz w:val="24"/>
          <w:szCs w:val="24"/>
          <w:lang w:val="en-US" w:eastAsia="zh-CN" w:bidi="ar-SA"/>
        </w:rPr>
        <w:t>；</w:t>
      </w:r>
    </w:p>
    <w:p w14:paraId="508329FF">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(3)配合采购人和承建方完善及妥善保管有关的变更记录</w:t>
      </w:r>
      <w:r>
        <w:rPr>
          <w:rFonts w:hint="eastAsia" w:ascii="宋体" w:hAnsi="宋体" w:cs="宋体"/>
          <w:bCs/>
          <w:sz w:val="24"/>
          <w:szCs w:val="24"/>
          <w:lang w:val="en-US" w:eastAsia="zh-CN" w:bidi="ar-SA"/>
        </w:rPr>
        <w:t>。</w:t>
      </w:r>
    </w:p>
    <w:p w14:paraId="1D2B1546">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4.5.合同管理</w:t>
      </w:r>
    </w:p>
    <w:p w14:paraId="79B4528E">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(1)合同签订管理，协助采购人审核合同条款，提出监理意见。</w:t>
      </w:r>
    </w:p>
    <w:p w14:paraId="56387FFC">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(2)合同执行管理</w:t>
      </w:r>
    </w:p>
    <w:p w14:paraId="604567A2">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1)跟踪检查合同的执行情况，监督承建方按合同约定</w:t>
      </w:r>
      <w:r>
        <w:rPr>
          <w:rFonts w:hint="eastAsia" w:hAnsi="宋体" w:eastAsia="宋体" w:cs="宋体"/>
          <w:bCs/>
          <w:sz w:val="24"/>
          <w:szCs w:val="24"/>
          <w:lang w:val="en-US" w:eastAsia="zh-CN"/>
        </w:rPr>
        <w:t>履约；</w:t>
      </w:r>
    </w:p>
    <w:p w14:paraId="15999D09">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2)对合同工期的延误和延期进行审核确认</w:t>
      </w:r>
      <w:r>
        <w:rPr>
          <w:rFonts w:hint="eastAsia" w:hAnsi="宋体" w:eastAsia="宋体" w:cs="宋体"/>
          <w:bCs/>
          <w:sz w:val="24"/>
          <w:szCs w:val="24"/>
          <w:lang w:val="en-US" w:eastAsia="zh-CN"/>
        </w:rPr>
        <w:t>；</w:t>
      </w:r>
    </w:p>
    <w:p w14:paraId="14B46957">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3)对合同变更、索赔等事宜进行审核确认</w:t>
      </w:r>
      <w:r>
        <w:rPr>
          <w:rFonts w:hint="eastAsia" w:hAnsi="宋体" w:eastAsia="宋体" w:cs="宋体"/>
          <w:bCs/>
          <w:sz w:val="24"/>
          <w:szCs w:val="24"/>
          <w:lang w:val="en-US" w:eastAsia="zh-CN"/>
        </w:rPr>
        <w:t>；</w:t>
      </w:r>
    </w:p>
    <w:p w14:paraId="22DBABD3">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4)根据合同约定，鉴定违约事件。</w:t>
      </w:r>
    </w:p>
    <w:p w14:paraId="143F6B07">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(3)合同档案管理，制定合同会签制度、合同交底制度等，对合同、相关附件、补充协议等文件进行管理。</w:t>
      </w:r>
    </w:p>
    <w:p w14:paraId="7158E254">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4.6.文档管理</w:t>
      </w:r>
    </w:p>
    <w:p w14:paraId="5D9BC492">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供应商负责对建设项目各承建方文档的收集、汇总、审核及管理工作，为各时间节点的成果确认及整体工程竣工验收提供最终依据，包括但不限于以下工作内容:</w:t>
      </w:r>
    </w:p>
    <w:p w14:paraId="590934C9">
      <w:pPr>
        <w:keepNext w:val="0"/>
        <w:keepLines w:val="0"/>
        <w:pageBreakBefore w:val="0"/>
        <w:widowControl w:val="0"/>
        <w:numPr>
          <w:ilvl w:val="0"/>
          <w:numId w:val="0"/>
        </w:numPr>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hAnsi="宋体" w:eastAsia="宋体" w:cs="宋体"/>
          <w:bCs/>
          <w:sz w:val="24"/>
          <w:szCs w:val="24"/>
          <w:lang w:val="en-US" w:eastAsia="zh-CN"/>
        </w:rPr>
      </w:pPr>
      <w:r>
        <w:rPr>
          <w:rFonts w:hint="eastAsia" w:ascii="宋体" w:hAnsi="宋体" w:eastAsia="宋体" w:cs="宋体"/>
          <w:bCs/>
          <w:sz w:val="24"/>
          <w:szCs w:val="24"/>
          <w:lang w:val="en-US" w:eastAsia="zh-CN" w:bidi="ar-SA"/>
        </w:rPr>
        <w:t>(1)</w:t>
      </w:r>
      <w:r>
        <w:rPr>
          <w:rFonts w:hint="eastAsia" w:ascii="宋体" w:hAnsi="宋体" w:eastAsia="宋体" w:cs="宋体"/>
          <w:bCs/>
          <w:sz w:val="24"/>
          <w:szCs w:val="24"/>
          <w:lang w:val="en-US" w:eastAsia="zh-CN"/>
        </w:rPr>
        <w:t>制订文档管理制度和流程、文档编制规范及项目各类文档模板</w:t>
      </w:r>
      <w:r>
        <w:rPr>
          <w:rFonts w:hint="eastAsia" w:hAnsi="宋体" w:eastAsia="宋体" w:cs="宋体"/>
          <w:bCs/>
          <w:sz w:val="24"/>
          <w:szCs w:val="24"/>
          <w:lang w:val="en-US" w:eastAsia="zh-CN"/>
        </w:rPr>
        <w:t>；</w:t>
      </w:r>
    </w:p>
    <w:p w14:paraId="53C4622F">
      <w:pPr>
        <w:keepNext w:val="0"/>
        <w:keepLines w:val="0"/>
        <w:pageBreakBefore w:val="0"/>
        <w:widowControl w:val="0"/>
        <w:numPr>
          <w:ilvl w:val="0"/>
          <w:numId w:val="0"/>
        </w:numPr>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bidi="ar-SA"/>
        </w:rPr>
        <w:t>(2)</w:t>
      </w:r>
      <w:r>
        <w:rPr>
          <w:rFonts w:hint="eastAsia" w:ascii="宋体" w:hAnsi="宋体" w:eastAsia="宋体" w:cs="宋体"/>
          <w:bCs/>
          <w:sz w:val="24"/>
          <w:szCs w:val="24"/>
          <w:lang w:val="en-US" w:eastAsia="zh-CN"/>
        </w:rPr>
        <w:t>在项目实施过程中做好项目文档的收集、管理工作等，项目文档包括不限于纸质文件、电子文件等</w:t>
      </w:r>
      <w:r>
        <w:rPr>
          <w:rFonts w:hint="eastAsia" w:hAnsi="宋体" w:eastAsia="宋体" w:cs="宋体"/>
          <w:bCs/>
          <w:sz w:val="24"/>
          <w:szCs w:val="24"/>
          <w:lang w:val="en-US" w:eastAsia="zh-CN"/>
        </w:rPr>
        <w:t>；</w:t>
      </w:r>
    </w:p>
    <w:p w14:paraId="3D80361C">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hAnsi="宋体" w:eastAsia="宋体" w:cs="宋体"/>
          <w:bCs/>
          <w:sz w:val="24"/>
          <w:szCs w:val="24"/>
          <w:lang w:val="en-US" w:eastAsia="zh-CN"/>
        </w:rPr>
      </w:pPr>
      <w:r>
        <w:rPr>
          <w:rFonts w:hint="eastAsia" w:ascii="宋体" w:hAnsi="宋体" w:eastAsia="宋体" w:cs="宋体"/>
          <w:bCs/>
          <w:sz w:val="24"/>
          <w:szCs w:val="24"/>
          <w:lang w:val="en-US" w:eastAsia="zh-CN"/>
        </w:rPr>
        <w:t>(3)督促承建方做好对所建项目文档的收集、整理和保管工作，确保承建单位所提供的项目各阶段形成的技术、管理文档的内容和种类符合相关标准</w:t>
      </w:r>
      <w:r>
        <w:rPr>
          <w:rFonts w:hint="eastAsia" w:hAnsi="宋体" w:eastAsia="宋体" w:cs="宋体"/>
          <w:bCs/>
          <w:sz w:val="24"/>
          <w:szCs w:val="24"/>
          <w:lang w:val="en-US" w:eastAsia="zh-CN"/>
        </w:rPr>
        <w:t>；</w:t>
      </w:r>
    </w:p>
    <w:p w14:paraId="58EEAD94">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(4)做好监理记录及项目大事记</w:t>
      </w:r>
      <w:r>
        <w:rPr>
          <w:rFonts w:hint="eastAsia" w:hAnsi="宋体" w:eastAsia="宋体" w:cs="宋体"/>
          <w:bCs/>
          <w:sz w:val="24"/>
          <w:szCs w:val="24"/>
          <w:lang w:val="en-US" w:eastAsia="zh-CN"/>
        </w:rPr>
        <w:t>；</w:t>
      </w:r>
    </w:p>
    <w:p w14:paraId="2A5EEEA0">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(5)做好项目合同、技术方案、测试文档、验收报告、来往文档等各类文件收集、存档以及移交工作</w:t>
      </w:r>
      <w:r>
        <w:rPr>
          <w:rFonts w:hint="eastAsia" w:hAnsi="宋体" w:eastAsia="宋体" w:cs="宋体"/>
          <w:bCs/>
          <w:sz w:val="24"/>
          <w:szCs w:val="24"/>
          <w:lang w:val="en-US" w:eastAsia="zh-CN"/>
        </w:rPr>
        <w:t>；</w:t>
      </w:r>
    </w:p>
    <w:p w14:paraId="70342123">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(6)做好项目专题会、项目例会等会议纪要</w:t>
      </w:r>
      <w:r>
        <w:rPr>
          <w:rFonts w:hint="eastAsia" w:hAnsi="宋体" w:eastAsia="宋体" w:cs="宋体"/>
          <w:bCs/>
          <w:sz w:val="24"/>
          <w:szCs w:val="24"/>
          <w:lang w:val="en-US" w:eastAsia="zh-CN"/>
        </w:rPr>
        <w:t>；</w:t>
      </w:r>
    </w:p>
    <w:p w14:paraId="7C52CEC6">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(7)完善项目周报，阶段性项目总结等相关资料</w:t>
      </w:r>
      <w:r>
        <w:rPr>
          <w:rFonts w:hint="eastAsia" w:hAnsi="宋体" w:eastAsia="宋体" w:cs="宋体"/>
          <w:bCs/>
          <w:sz w:val="24"/>
          <w:szCs w:val="24"/>
          <w:lang w:val="en-US" w:eastAsia="zh-CN"/>
        </w:rPr>
        <w:t>；</w:t>
      </w:r>
    </w:p>
    <w:p w14:paraId="2190E2CB">
      <w:pPr>
        <w:keepNext w:val="0"/>
        <w:keepLines w:val="0"/>
        <w:pageBreakBefore w:val="0"/>
        <w:widowControl w:val="0"/>
        <w:tabs>
          <w:tab w:val="left" w:pos="7665"/>
        </w:tabs>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(8)做好文档的版本控制。</w:t>
      </w:r>
    </w:p>
    <w:p w14:paraId="18CE7BB4">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4.7.安全管理</w:t>
      </w:r>
    </w:p>
    <w:p w14:paraId="27235CE6">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协助采购人开展工程安全管理工作，包括但不限于以下工作:</w:t>
      </w:r>
    </w:p>
    <w:p w14:paraId="60BDD77E">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(1)协助采购人明确工程的安全要求，协助编制安全管理制度</w:t>
      </w:r>
      <w:r>
        <w:rPr>
          <w:rFonts w:hint="eastAsia" w:ascii="宋体" w:hAnsi="宋体" w:cs="宋体"/>
          <w:bCs/>
          <w:sz w:val="24"/>
          <w:szCs w:val="24"/>
          <w:lang w:val="en-US" w:eastAsia="zh-CN" w:bidi="ar-SA"/>
        </w:rPr>
        <w:t>；</w:t>
      </w:r>
    </w:p>
    <w:p w14:paraId="76D26EC1">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(2)促使采购人、承建方所签订的合同中与安全相关的条款在技术、经济上有效</w:t>
      </w:r>
      <w:r>
        <w:rPr>
          <w:rFonts w:hint="eastAsia" w:ascii="宋体" w:hAnsi="宋体" w:cs="宋体"/>
          <w:bCs/>
          <w:sz w:val="24"/>
          <w:szCs w:val="24"/>
          <w:lang w:val="en-US" w:eastAsia="zh-CN" w:bidi="ar-SA"/>
        </w:rPr>
        <w:t>；</w:t>
      </w:r>
    </w:p>
    <w:p w14:paraId="55921967">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(3)审核优化承建单位的项目安全性设计方案，重点加强对实施方案中安全性、合法性、合理性、功能性的审查</w:t>
      </w:r>
      <w:r>
        <w:rPr>
          <w:rFonts w:hint="eastAsia" w:ascii="宋体" w:hAnsi="宋体" w:cs="宋体"/>
          <w:bCs/>
          <w:sz w:val="24"/>
          <w:szCs w:val="24"/>
          <w:lang w:val="en-US" w:eastAsia="zh-CN" w:bidi="ar-SA"/>
        </w:rPr>
        <w:t>；</w:t>
      </w:r>
    </w:p>
    <w:p w14:paraId="3780DB4C">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cs="宋体"/>
          <w:bCs/>
          <w:sz w:val="24"/>
          <w:szCs w:val="24"/>
          <w:lang w:val="en-US" w:eastAsia="zh-CN" w:bidi="ar-SA"/>
        </w:rPr>
      </w:pPr>
      <w:r>
        <w:rPr>
          <w:rFonts w:hint="eastAsia" w:ascii="宋体" w:hAnsi="宋体" w:eastAsia="宋体" w:cs="宋体"/>
          <w:bCs/>
          <w:sz w:val="24"/>
          <w:szCs w:val="24"/>
          <w:lang w:val="en-US" w:eastAsia="zh-CN" w:bidi="ar-SA"/>
        </w:rPr>
        <w:t>(4)监督承建单位建设过程满足招投标及合同中提出的安全要求，并与安全设计方案、工程计划相符，监督承建方按照国家信息系统安全等级保护相关标准实施</w:t>
      </w:r>
      <w:r>
        <w:rPr>
          <w:rFonts w:hint="eastAsia" w:ascii="宋体" w:hAnsi="宋体" w:cs="宋体"/>
          <w:bCs/>
          <w:sz w:val="24"/>
          <w:szCs w:val="24"/>
          <w:lang w:val="en-US" w:eastAsia="zh-CN" w:bidi="ar-SA"/>
        </w:rPr>
        <w:t>；</w:t>
      </w:r>
    </w:p>
    <w:p w14:paraId="6B1DE956">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(5)督促承建方做好自身的信息安全和实施安全管理工作，并检查其具体工作的实施</w:t>
      </w:r>
      <w:r>
        <w:rPr>
          <w:rFonts w:hint="eastAsia" w:ascii="宋体" w:hAnsi="宋体" w:cs="宋体"/>
          <w:bCs/>
          <w:sz w:val="24"/>
          <w:szCs w:val="24"/>
          <w:lang w:val="en-US" w:eastAsia="zh-CN" w:bidi="ar-SA"/>
        </w:rPr>
        <w:t>；</w:t>
      </w:r>
    </w:p>
    <w:p w14:paraId="61A0ABBD">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(6)协助对发生的安全问题进行处置。</w:t>
      </w:r>
    </w:p>
    <w:p w14:paraId="67C6305F">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4.8.组织协调</w:t>
      </w:r>
    </w:p>
    <w:p w14:paraId="7D412E83">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负责协调本项目所涉及的各方之间的工作关系，并协调解决项目建设过程中的各类纠纷。供应商应该通过口头沟通、书面沟通、必要的会议制度来实施协调工作。</w:t>
      </w:r>
    </w:p>
    <w:p w14:paraId="63B45364">
      <w:pPr>
        <w:keepNext w:val="0"/>
        <w:keepLines w:val="0"/>
        <w:pageBreakBefore w:val="0"/>
        <w:widowControl w:val="0"/>
        <w:kinsoku/>
        <w:wordWrap w:val="0"/>
        <w:overflowPunct/>
        <w:topLinePunct w:val="0"/>
        <w:autoSpaceDE/>
        <w:autoSpaceDN/>
        <w:bidi w:val="0"/>
        <w:adjustRightInd/>
        <w:snapToGrid/>
        <w:spacing w:line="360" w:lineRule="auto"/>
        <w:ind w:firstLine="482" w:firstLineChars="200"/>
        <w:jc w:val="left"/>
        <w:textAlignment w:val="auto"/>
        <w:outlineLvl w:val="2"/>
        <w:rPr>
          <w:rFonts w:hint="eastAsia" w:ascii="宋体" w:hAnsi="宋体" w:eastAsia="宋体" w:cs="宋体"/>
          <w:b/>
          <w:bCs w:val="0"/>
          <w:sz w:val="24"/>
          <w:szCs w:val="24"/>
          <w:lang w:val="en-US" w:eastAsia="zh-CN" w:bidi="ar-SA"/>
        </w:rPr>
      </w:pPr>
      <w:r>
        <w:rPr>
          <w:rFonts w:hint="eastAsia" w:ascii="宋体" w:hAnsi="宋体" w:eastAsia="宋体" w:cs="宋体"/>
          <w:b/>
          <w:bCs w:val="0"/>
          <w:sz w:val="24"/>
          <w:szCs w:val="24"/>
          <w:lang w:val="en-US" w:eastAsia="zh-CN" w:bidi="ar-SA"/>
        </w:rPr>
        <w:t>5</w:t>
      </w:r>
      <w:r>
        <w:rPr>
          <w:rFonts w:hint="eastAsia" w:hAnsi="宋体" w:eastAsia="宋体" w:cs="宋体"/>
          <w:b/>
          <w:bCs w:val="0"/>
          <w:sz w:val="24"/>
          <w:szCs w:val="24"/>
          <w:lang w:val="en-US" w:eastAsia="zh-CN" w:bidi="ar-SA"/>
        </w:rPr>
        <w:t>.</w:t>
      </w:r>
      <w:r>
        <w:rPr>
          <w:rFonts w:hint="eastAsia" w:ascii="宋体" w:hAnsi="宋体" w:eastAsia="宋体" w:cs="宋体"/>
          <w:b/>
          <w:bCs w:val="0"/>
          <w:sz w:val="24"/>
          <w:szCs w:val="24"/>
          <w:lang w:val="en-US" w:eastAsia="zh-CN" w:bidi="ar-SA"/>
        </w:rPr>
        <w:t>监理各阶段工作要求</w:t>
      </w:r>
    </w:p>
    <w:p w14:paraId="4F38AAE7">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根据采购人需求，提供各阶段全部或重点部分监理服务。各阶段监理工作具体说明如下(包含但不限于)</w:t>
      </w:r>
    </w:p>
    <w:p w14:paraId="664778AE">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5.1.项目采购及合同签订阶段</w:t>
      </w:r>
    </w:p>
    <w:p w14:paraId="10EBA6A1">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协助采购人完成项目建设需求，特别是对项目需求的细化整理、技术交流和案例考察、系统设计和系统集成的准备等活动。供应商通过参与以上活动，协助采购人进一步确定项目建设的规模、技术要求以及详细预算费用等内容。</w:t>
      </w:r>
    </w:p>
    <w:p w14:paraId="4896AAAC">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5.2.需求分析与设计阶段</w:t>
      </w:r>
    </w:p>
    <w:p w14:paraId="4285A71E">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协助采购人完成系统设计和系统集成方案的优化等活动。供应商督促承建方开展现场调研、进行设计方案的优化细化工作，核实调研信息:按照采购人要求，审议并开展设计方案的专家论证会。供应商负责本阶段参与项目建设其他各方的沟通协调，并对系统优化设计方案进行审核，并提交监理审核报告。</w:t>
      </w:r>
    </w:p>
    <w:p w14:paraId="19C154F7">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(1)审核承建方提交的用户需求分析</w:t>
      </w:r>
      <w:r>
        <w:rPr>
          <w:rFonts w:hint="eastAsia" w:hAnsi="宋体" w:eastAsia="宋体" w:cs="宋体"/>
          <w:bCs/>
          <w:sz w:val="24"/>
          <w:szCs w:val="24"/>
          <w:lang w:val="en-US" w:eastAsia="zh-CN" w:bidi="ar-SA"/>
        </w:rPr>
        <w:t>；</w:t>
      </w:r>
    </w:p>
    <w:p w14:paraId="678C14DA">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(2)对采购人和承建方进行信息沟通</w:t>
      </w:r>
      <w:r>
        <w:rPr>
          <w:rFonts w:hint="eastAsia" w:hAnsi="宋体" w:eastAsia="宋体" w:cs="宋体"/>
          <w:bCs/>
          <w:sz w:val="24"/>
          <w:szCs w:val="24"/>
          <w:lang w:val="en-US" w:eastAsia="zh-CN" w:bidi="ar-SA"/>
        </w:rPr>
        <w:t>；</w:t>
      </w:r>
    </w:p>
    <w:p w14:paraId="062FEAE7">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(3)审核承建方项目进度计划的合理性和可操作性</w:t>
      </w:r>
      <w:r>
        <w:rPr>
          <w:rFonts w:hint="eastAsia" w:hAnsi="宋体" w:eastAsia="宋体" w:cs="宋体"/>
          <w:bCs/>
          <w:sz w:val="24"/>
          <w:szCs w:val="24"/>
          <w:lang w:val="en-US" w:eastAsia="zh-CN" w:bidi="ar-SA"/>
        </w:rPr>
        <w:t>；</w:t>
      </w:r>
    </w:p>
    <w:p w14:paraId="23DCB38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(4)审核承建方的项目组织结构、人员构成</w:t>
      </w:r>
      <w:r>
        <w:rPr>
          <w:rFonts w:hint="eastAsia" w:hAnsi="宋体" w:eastAsia="宋体" w:cs="宋体"/>
          <w:bCs/>
          <w:sz w:val="24"/>
          <w:szCs w:val="24"/>
          <w:lang w:val="en-US" w:eastAsia="zh-CN" w:bidi="ar-SA"/>
        </w:rPr>
        <w:t>；</w:t>
      </w:r>
    </w:p>
    <w:p w14:paraId="4B731BD1">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(5)审查承建方的质量保证体系和计划</w:t>
      </w:r>
      <w:r>
        <w:rPr>
          <w:rFonts w:hint="eastAsia" w:hAnsi="宋体" w:eastAsia="宋体" w:cs="宋体"/>
          <w:bCs/>
          <w:sz w:val="24"/>
          <w:szCs w:val="24"/>
          <w:lang w:val="en-US" w:eastAsia="zh-CN" w:bidi="ar-SA"/>
        </w:rPr>
        <w:t>；</w:t>
      </w:r>
    </w:p>
    <w:p w14:paraId="69D85EEB">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(6)审核承建方提交的实施方案</w:t>
      </w:r>
      <w:r>
        <w:rPr>
          <w:rFonts w:hint="eastAsia" w:hAnsi="宋体" w:eastAsia="宋体" w:cs="宋体"/>
          <w:bCs/>
          <w:sz w:val="24"/>
          <w:szCs w:val="24"/>
          <w:lang w:val="en-US" w:eastAsia="zh-CN" w:bidi="ar-SA"/>
        </w:rPr>
        <w:t>；</w:t>
      </w:r>
    </w:p>
    <w:p w14:paraId="73DCA8B3">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(7)审核和分析承建方提交的设计方案。</w:t>
      </w:r>
    </w:p>
    <w:p w14:paraId="317A7042">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5.3.实施阶段</w:t>
      </w:r>
    </w:p>
    <w:p w14:paraId="62A2403B">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供应商负责实施质量控制、进度控制、投资控制、变更控制、合同管理、文档管理、安全管理和协调，开展项目实施方案的监理评审，督促承建方开展项目自检必要时开展监理抽测等工作。通过以上活动，供应商确认项目实施、测试等工作均按计划方案实现，确保项目建设能够按时保质达到项目建设目标。</w:t>
      </w:r>
    </w:p>
    <w:p w14:paraId="7844C2E7">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(1)检查承建方提出的集成环境要求和入场计划</w:t>
      </w:r>
      <w:r>
        <w:rPr>
          <w:rFonts w:hint="eastAsia" w:ascii="宋体" w:hAnsi="宋体" w:cs="宋体"/>
          <w:bCs/>
          <w:sz w:val="24"/>
          <w:szCs w:val="24"/>
          <w:lang w:val="en-US" w:eastAsia="zh-CN" w:bidi="ar-SA"/>
        </w:rPr>
        <w:t>；</w:t>
      </w:r>
    </w:p>
    <w:p w14:paraId="65BF7643">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(2)审核承建方编制的专项工作实施方案和建设内容的其它方案，审核确认承建方的各项实施计划</w:t>
      </w:r>
      <w:r>
        <w:rPr>
          <w:rFonts w:hint="eastAsia" w:ascii="宋体" w:hAnsi="宋体" w:cs="宋体"/>
          <w:bCs/>
          <w:sz w:val="24"/>
          <w:szCs w:val="24"/>
          <w:lang w:val="en-US" w:eastAsia="zh-CN" w:bidi="ar-SA"/>
        </w:rPr>
        <w:t>；</w:t>
      </w:r>
    </w:p>
    <w:p w14:paraId="1D13BD7F">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(3)组织进行软硬件设备的到货验收</w:t>
      </w:r>
      <w:r>
        <w:rPr>
          <w:rFonts w:hint="eastAsia" w:ascii="宋体" w:hAnsi="宋体" w:cs="宋体"/>
          <w:bCs/>
          <w:sz w:val="24"/>
          <w:szCs w:val="24"/>
          <w:lang w:val="en-US" w:eastAsia="zh-CN" w:bidi="ar-SA"/>
        </w:rPr>
        <w:t>；</w:t>
      </w:r>
    </w:p>
    <w:p w14:paraId="6702A994">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(4)对设备安装工作进行检查，监督软硬件上线部署工作</w:t>
      </w:r>
      <w:r>
        <w:rPr>
          <w:rFonts w:hint="eastAsia" w:ascii="宋体" w:hAnsi="宋体" w:cs="宋体"/>
          <w:bCs/>
          <w:sz w:val="24"/>
          <w:szCs w:val="24"/>
          <w:lang w:val="en-US" w:eastAsia="zh-CN" w:bidi="ar-SA"/>
        </w:rPr>
        <w:t>；</w:t>
      </w:r>
    </w:p>
    <w:p w14:paraId="6E60603B">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(5)根据规范对软件开发工作进行查看，审核阶段性技术文档，检查输出成果</w:t>
      </w:r>
      <w:r>
        <w:rPr>
          <w:rFonts w:hint="eastAsia" w:ascii="宋体" w:hAnsi="宋体" w:cs="宋体"/>
          <w:bCs/>
          <w:sz w:val="24"/>
          <w:szCs w:val="24"/>
          <w:lang w:val="en-US" w:eastAsia="zh-CN" w:bidi="ar-SA"/>
        </w:rPr>
        <w:t>；</w:t>
      </w:r>
    </w:p>
    <w:p w14:paraId="609EAEA2">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(6)检查承建方项目实施的相关文档</w:t>
      </w:r>
      <w:r>
        <w:rPr>
          <w:rFonts w:hint="eastAsia" w:ascii="宋体" w:hAnsi="宋体" w:cs="宋体"/>
          <w:bCs/>
          <w:sz w:val="24"/>
          <w:szCs w:val="24"/>
          <w:lang w:val="en-US" w:eastAsia="zh-CN" w:bidi="ar-SA"/>
        </w:rPr>
        <w:t>；</w:t>
      </w:r>
    </w:p>
    <w:p w14:paraId="5B0C6DA7">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(7)监督项目集成工作及系统优化工作</w:t>
      </w:r>
      <w:r>
        <w:rPr>
          <w:rFonts w:hint="eastAsia" w:ascii="宋体" w:hAnsi="宋体" w:cs="宋体"/>
          <w:bCs/>
          <w:sz w:val="24"/>
          <w:szCs w:val="24"/>
          <w:lang w:val="en-US" w:eastAsia="zh-CN" w:bidi="ar-SA"/>
        </w:rPr>
        <w:t>；</w:t>
      </w:r>
    </w:p>
    <w:p w14:paraId="063D57C8">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(8)监督项目计划进度与实际进度的符合性</w:t>
      </w:r>
      <w:r>
        <w:rPr>
          <w:rFonts w:hint="eastAsia" w:ascii="宋体" w:hAnsi="宋体" w:cs="宋体"/>
          <w:bCs/>
          <w:sz w:val="24"/>
          <w:szCs w:val="24"/>
          <w:lang w:val="en-US" w:eastAsia="zh-CN" w:bidi="ar-SA"/>
        </w:rPr>
        <w:t>；</w:t>
      </w:r>
    </w:p>
    <w:p w14:paraId="3337C83E">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(9)监督承建方进行项目安全管理，督促落实各项安全措施</w:t>
      </w:r>
      <w:r>
        <w:rPr>
          <w:rFonts w:hint="eastAsia" w:ascii="宋体" w:hAnsi="宋体" w:cs="宋体"/>
          <w:bCs/>
          <w:sz w:val="24"/>
          <w:szCs w:val="24"/>
          <w:lang w:val="en-US" w:eastAsia="zh-CN" w:bidi="ar-SA"/>
        </w:rPr>
        <w:t>；</w:t>
      </w:r>
    </w:p>
    <w:p w14:paraId="393C92D1">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(10)协助采购人处理项目实施过程中出现的质量事故</w:t>
      </w:r>
      <w:r>
        <w:rPr>
          <w:rFonts w:hint="eastAsia" w:ascii="宋体" w:hAnsi="宋体" w:cs="宋体"/>
          <w:bCs/>
          <w:sz w:val="24"/>
          <w:szCs w:val="24"/>
          <w:lang w:val="en-US" w:eastAsia="zh-CN" w:bidi="ar-SA"/>
        </w:rPr>
        <w:t>；</w:t>
      </w:r>
    </w:p>
    <w:p w14:paraId="71C37DB1">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(11)应参与本项目涉及软件的测试过程，与采购人共同审核《测试方案》，要求承建单位实施单元测试、集成测试、确认测试和系统测试的完整过程，审核《测试报告》。</w:t>
      </w:r>
    </w:p>
    <w:p w14:paraId="5E1CEA13">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(12)根据国家网络安全法要求，项目网络安全需要满足公安机关的信息安全等级保护要求，为加强项目建设过程的网络安全等级保护工作，确保系统建成后通过网络安全等级保护测评，监理单位应督促承建方按照《信息安全技术网络安全等级保护基本要求》(GB/TGBT22239-2019)开展安全建设。</w:t>
      </w:r>
    </w:p>
    <w:p w14:paraId="0B1FDFD4">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(13)进行各系统交付成果的核实，质量检查及局部验收工作</w:t>
      </w:r>
      <w:r>
        <w:rPr>
          <w:rFonts w:hint="eastAsia" w:ascii="宋体" w:hAnsi="宋体" w:cs="宋体"/>
          <w:bCs/>
          <w:sz w:val="24"/>
          <w:szCs w:val="24"/>
          <w:lang w:val="en-US" w:eastAsia="zh-CN" w:bidi="ar-SA"/>
        </w:rPr>
        <w:t>。</w:t>
      </w:r>
    </w:p>
    <w:p w14:paraId="6533D5C2">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5.4.培训及试运行阶段</w:t>
      </w:r>
    </w:p>
    <w:p w14:paraId="75DBC166">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(1)审核确认项目承建方编制的培训计划</w:t>
      </w:r>
      <w:r>
        <w:rPr>
          <w:rFonts w:hint="eastAsia" w:ascii="宋体" w:hAnsi="宋体" w:cs="宋体"/>
          <w:bCs/>
          <w:sz w:val="24"/>
          <w:szCs w:val="24"/>
          <w:lang w:val="en-US" w:eastAsia="zh-CN" w:bidi="ar-SA"/>
        </w:rPr>
        <w:t>；</w:t>
      </w:r>
    </w:p>
    <w:p w14:paraId="3C19EF4E">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(2)监督承建方培训计划执行情况</w:t>
      </w:r>
      <w:r>
        <w:rPr>
          <w:rFonts w:hint="eastAsia" w:ascii="宋体" w:hAnsi="宋体" w:cs="宋体"/>
          <w:bCs/>
          <w:sz w:val="24"/>
          <w:szCs w:val="24"/>
          <w:lang w:val="en-US" w:eastAsia="zh-CN" w:bidi="ar-SA"/>
        </w:rPr>
        <w:t>；</w:t>
      </w:r>
    </w:p>
    <w:p w14:paraId="6665A738">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(3)审核确认承建方的培训总结报告</w:t>
      </w:r>
      <w:r>
        <w:rPr>
          <w:rFonts w:hint="eastAsia" w:ascii="宋体" w:hAnsi="宋体" w:cs="宋体"/>
          <w:bCs/>
          <w:sz w:val="24"/>
          <w:szCs w:val="24"/>
          <w:lang w:val="en-US" w:eastAsia="zh-CN" w:bidi="ar-SA"/>
        </w:rPr>
        <w:t>；</w:t>
      </w:r>
    </w:p>
    <w:p w14:paraId="269EA15C">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(4)检查项目涉及的调试和试运行情况</w:t>
      </w:r>
      <w:r>
        <w:rPr>
          <w:rFonts w:hint="eastAsia" w:ascii="宋体" w:hAnsi="宋体" w:cs="宋体"/>
          <w:bCs/>
          <w:sz w:val="24"/>
          <w:szCs w:val="24"/>
          <w:lang w:val="en-US" w:eastAsia="zh-CN" w:bidi="ar-SA"/>
        </w:rPr>
        <w:t>；</w:t>
      </w:r>
    </w:p>
    <w:p w14:paraId="7854D994">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(5)监督承建方处理试运行期间出现的相关问题</w:t>
      </w:r>
      <w:r>
        <w:rPr>
          <w:rFonts w:hint="eastAsia" w:ascii="宋体" w:hAnsi="宋体" w:cs="宋体"/>
          <w:bCs/>
          <w:sz w:val="24"/>
          <w:szCs w:val="24"/>
          <w:lang w:val="en-US" w:eastAsia="zh-CN" w:bidi="ar-SA"/>
        </w:rPr>
        <w:t>；</w:t>
      </w:r>
    </w:p>
    <w:p w14:paraId="4F35146E">
      <w:pPr>
        <w:pStyle w:val="2"/>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bCs/>
          <w:sz w:val="24"/>
          <w:szCs w:val="24"/>
          <w:lang w:val="en-US" w:eastAsia="zh-CN" w:bidi="ar-SA"/>
        </w:rPr>
      </w:pPr>
      <w:r>
        <w:rPr>
          <w:rFonts w:hint="eastAsia" w:ascii="宋体" w:hAnsi="宋体" w:eastAsia="宋体" w:cs="宋体"/>
          <w:bCs/>
          <w:sz w:val="24"/>
          <w:szCs w:val="24"/>
          <w:lang w:val="en-US" w:eastAsia="zh-CN" w:bidi="ar-SA"/>
        </w:rPr>
        <w:t>(6)监督进行项目涉及的验收测试、用户测试，收集用户使用意见。</w:t>
      </w:r>
    </w:p>
    <w:p w14:paraId="6145C38C">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5.5.验收和移交阶段</w:t>
      </w:r>
    </w:p>
    <w:p w14:paraId="471A03B5">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供应商应协助采购人审核承建单位验收计划及方案，明确验收目标、各方责任验收内容、验收标准、验收方式和验收结果等内容，审核后签署意见。</w:t>
      </w:r>
    </w:p>
    <w:p w14:paraId="4206EA0C">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(1)审核验收条件，制定验收程序标准和审查验收方案</w:t>
      </w:r>
      <w:r>
        <w:rPr>
          <w:rFonts w:hint="eastAsia" w:hAnsi="宋体" w:eastAsia="宋体" w:cs="宋体"/>
          <w:sz w:val="24"/>
          <w:szCs w:val="24"/>
          <w:lang w:val="en-US" w:eastAsia="zh-CN"/>
        </w:rPr>
        <w:t>；</w:t>
      </w:r>
    </w:p>
    <w:p w14:paraId="3DF03E83">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(2)组织开展项目预验收工作</w:t>
      </w:r>
      <w:r>
        <w:rPr>
          <w:rFonts w:hint="eastAsia" w:hAnsi="宋体" w:eastAsia="宋体" w:cs="宋体"/>
          <w:sz w:val="24"/>
          <w:szCs w:val="24"/>
          <w:lang w:val="en-US" w:eastAsia="zh-CN"/>
        </w:rPr>
        <w:t>；</w:t>
      </w:r>
    </w:p>
    <w:p w14:paraId="63DCE5AB">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(3)协助采购人进行项目初步验收、最终验收</w:t>
      </w:r>
      <w:r>
        <w:rPr>
          <w:rFonts w:hint="eastAsia" w:hAnsi="宋体" w:eastAsia="宋体" w:cs="宋体"/>
          <w:sz w:val="24"/>
          <w:szCs w:val="24"/>
          <w:lang w:val="en-US" w:eastAsia="zh-CN"/>
        </w:rPr>
        <w:t>；</w:t>
      </w:r>
    </w:p>
    <w:p w14:paraId="02B5A028">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(4)检查项目文档的齐备性审核移交材料</w:t>
      </w:r>
      <w:r>
        <w:rPr>
          <w:rFonts w:hint="eastAsia" w:hAnsi="宋体" w:eastAsia="宋体" w:cs="宋体"/>
          <w:sz w:val="24"/>
          <w:szCs w:val="24"/>
          <w:lang w:val="en-US" w:eastAsia="zh-CN"/>
        </w:rPr>
        <w:t>；</w:t>
      </w:r>
    </w:p>
    <w:p w14:paraId="0AAF0A4E">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(5)监督项目各承建方的整体移交过程</w:t>
      </w:r>
      <w:r>
        <w:rPr>
          <w:rFonts w:hint="eastAsia" w:hAnsi="宋体" w:eastAsia="宋体" w:cs="宋体"/>
          <w:sz w:val="24"/>
          <w:szCs w:val="24"/>
          <w:lang w:val="en-US" w:eastAsia="zh-CN"/>
        </w:rPr>
        <w:t>；</w:t>
      </w:r>
    </w:p>
    <w:p w14:paraId="76E0FC55">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(6)协助开展项目结算工作。</w:t>
      </w:r>
    </w:p>
    <w:p w14:paraId="5CFA878A">
      <w:pPr>
        <w:tabs>
          <w:tab w:val="left" w:pos="1546"/>
        </w:tabs>
        <w:autoSpaceDE w:val="0"/>
        <w:autoSpaceDN w:val="0"/>
        <w:adjustRightInd w:val="0"/>
        <w:spacing w:line="360" w:lineRule="auto"/>
        <w:ind w:firstLine="482" w:firstLineChars="200"/>
        <w:jc w:val="left"/>
        <w:outlineLvl w:val="1"/>
        <w:rPr>
          <w:rFonts w:hint="eastAsia" w:hAnsi="宋体" w:cs="宋体"/>
          <w:b/>
          <w:spacing w:val="-6"/>
          <w:sz w:val="24"/>
        </w:rPr>
      </w:pPr>
      <w:r>
        <w:rPr>
          <w:rFonts w:hint="eastAsia" w:hAnsi="宋体" w:cs="宋体"/>
          <w:b/>
          <w:bCs/>
          <w:sz w:val="24"/>
          <w:szCs w:val="24"/>
        </w:rPr>
        <w:t>★</w:t>
      </w:r>
      <w:r>
        <w:rPr>
          <w:rFonts w:hint="eastAsia" w:hAnsi="宋体" w:cs="宋体"/>
          <w:b/>
          <w:spacing w:val="-6"/>
          <w:sz w:val="24"/>
        </w:rPr>
        <w:t>四、商务要求</w:t>
      </w:r>
    </w:p>
    <w:p w14:paraId="311DC5E6">
      <w:pPr>
        <w:keepNext w:val="0"/>
        <w:keepLines w:val="0"/>
        <w:pageBreakBefore w:val="0"/>
        <w:widowControl w:val="0"/>
        <w:numPr>
          <w:ilvl w:val="0"/>
          <w:numId w:val="0"/>
        </w:numPr>
        <w:tabs>
          <w:tab w:val="left" w:pos="7665"/>
        </w:tabs>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bidi="ar-SA"/>
        </w:rPr>
        <w:t>1.</w:t>
      </w:r>
      <w:r>
        <w:rPr>
          <w:rFonts w:hint="eastAsia" w:ascii="宋体" w:hAnsi="宋体" w:eastAsia="宋体" w:cs="宋体"/>
          <w:sz w:val="24"/>
          <w:szCs w:val="24"/>
          <w:lang w:val="en-US" w:eastAsia="zh-CN"/>
        </w:rPr>
        <w:t>供应商在项目实施期间,从采购人获取的任何资料和重要信息，均有保密责任。未经采购人事书面授权，不得以任何方式向任何其他组织或个人泄露、转让、许可使用、交换、赠与或与任何组织或个人共同使用或不正当使用。</w:t>
      </w:r>
    </w:p>
    <w:p w14:paraId="0FBBEA31">
      <w:pPr>
        <w:keepNext w:val="0"/>
        <w:keepLines w:val="0"/>
        <w:pageBreakBefore w:val="0"/>
        <w:widowControl w:val="0"/>
        <w:numPr>
          <w:ilvl w:val="0"/>
          <w:numId w:val="0"/>
        </w:numPr>
        <w:tabs>
          <w:tab w:val="left" w:pos="7665"/>
        </w:tabs>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主要产出成果物(根据项目实际情况产生):开工令、复工令、停工令、项目款支付证书、监理周报、各类会议纪要、监理月报、实施文档类监理审核意见、监理工作联系函、监理通知单、项目备忘录、监理记录、专项监理报告、阶段性项目总结、项目监理工作总结报告等。以纸质文档形式提交，一式三份。</w:t>
      </w:r>
    </w:p>
    <w:p w14:paraId="3B20728B">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jc w:val="left"/>
        <w:textAlignment w:val="auto"/>
        <w:rPr>
          <w:rFonts w:hint="eastAsia" w:hAnsi="宋体" w:cs="宋体"/>
          <w:bCs/>
          <w:spacing w:val="-6"/>
          <w:sz w:val="24"/>
          <w:vertAlign w:val="baseline"/>
        </w:rPr>
      </w:pPr>
      <w:r>
        <w:rPr>
          <w:rFonts w:hint="eastAsia" w:ascii="宋体" w:hAnsi="宋体" w:eastAsia="宋体" w:cs="宋体"/>
          <w:sz w:val="24"/>
          <w:szCs w:val="24"/>
          <w:lang w:val="en-US" w:eastAsia="zh-CN"/>
        </w:rPr>
        <w:t>3.要求针对本项目设立监理项目组不少于4人(工作岗位包括:总监理工程师1名，总监代表或技术顾问1名，现场监理工程师1名，文档管理员1名)</w:t>
      </w:r>
      <w:r>
        <w:rPr>
          <w:rFonts w:hint="eastAsia" w:hAnsi="宋体" w:cs="宋体"/>
          <w:bCs/>
          <w:sz w:val="24"/>
        </w:rPr>
        <w: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1"/>
        <w:gridCol w:w="5261"/>
      </w:tblGrid>
      <w:tr w14:paraId="1BC09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dxa"/>
            <w:noWrap w:val="0"/>
            <w:vAlign w:val="center"/>
          </w:tcPr>
          <w:p w14:paraId="63136936">
            <w:pPr>
              <w:keepNext w:val="0"/>
              <w:keepLines w:val="0"/>
              <w:pageBreakBefore w:val="0"/>
              <w:widowControl w:val="0"/>
              <w:tabs>
                <w:tab w:val="left" w:pos="7665"/>
              </w:tabs>
              <w:kinsoku/>
              <w:wordWrap/>
              <w:overflowPunct/>
              <w:topLinePunct w:val="0"/>
              <w:autoSpaceDE/>
              <w:autoSpaceDN/>
              <w:bidi w:val="0"/>
              <w:adjustRightInd/>
              <w:snapToGrid/>
              <w:spacing w:line="240" w:lineRule="auto"/>
              <w:jc w:val="center"/>
              <w:textAlignment w:val="auto"/>
              <w:rPr>
                <w:rFonts w:hint="default" w:hAnsi="宋体" w:eastAsia="宋体" w:cs="宋体"/>
                <w:b/>
                <w:bCs w:val="0"/>
                <w:spacing w:val="-6"/>
                <w:sz w:val="24"/>
                <w:vertAlign w:val="baseline"/>
                <w:lang w:val="en-US" w:eastAsia="zh-CN"/>
              </w:rPr>
            </w:pPr>
            <w:r>
              <w:rPr>
                <w:rFonts w:hint="eastAsia" w:hAnsi="宋体" w:cs="宋体"/>
                <w:b/>
                <w:bCs w:val="0"/>
                <w:spacing w:val="-6"/>
                <w:sz w:val="24"/>
                <w:vertAlign w:val="baseline"/>
                <w:lang w:val="en-US" w:eastAsia="zh-CN"/>
              </w:rPr>
              <w:t>项目小组成员</w:t>
            </w:r>
          </w:p>
        </w:tc>
        <w:tc>
          <w:tcPr>
            <w:tcW w:w="6077" w:type="dxa"/>
            <w:noWrap w:val="0"/>
            <w:vAlign w:val="center"/>
          </w:tcPr>
          <w:p w14:paraId="729A65CD">
            <w:pPr>
              <w:keepNext w:val="0"/>
              <w:keepLines w:val="0"/>
              <w:pageBreakBefore w:val="0"/>
              <w:widowControl w:val="0"/>
              <w:tabs>
                <w:tab w:val="left" w:pos="7665"/>
              </w:tabs>
              <w:kinsoku/>
              <w:wordWrap/>
              <w:overflowPunct/>
              <w:topLinePunct w:val="0"/>
              <w:autoSpaceDE/>
              <w:autoSpaceDN/>
              <w:bidi w:val="0"/>
              <w:adjustRightInd/>
              <w:snapToGrid/>
              <w:spacing w:line="240" w:lineRule="auto"/>
              <w:jc w:val="center"/>
              <w:textAlignment w:val="auto"/>
              <w:rPr>
                <w:rFonts w:hint="eastAsia" w:hAnsi="宋体" w:eastAsia="宋体" w:cs="宋体"/>
                <w:b/>
                <w:bCs w:val="0"/>
                <w:spacing w:val="-6"/>
                <w:sz w:val="24"/>
                <w:vertAlign w:val="baseline"/>
                <w:lang w:val="en-US" w:eastAsia="zh-CN"/>
              </w:rPr>
            </w:pPr>
            <w:r>
              <w:rPr>
                <w:rFonts w:hint="eastAsia" w:hAnsi="宋体" w:cs="宋体"/>
                <w:b/>
                <w:bCs w:val="0"/>
                <w:spacing w:val="-6"/>
                <w:sz w:val="24"/>
                <w:vertAlign w:val="baseline"/>
                <w:lang w:val="en-US" w:eastAsia="zh-CN"/>
              </w:rPr>
              <w:t>证书</w:t>
            </w:r>
          </w:p>
        </w:tc>
      </w:tr>
      <w:tr w14:paraId="242D5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dxa"/>
            <w:noWrap w:val="0"/>
            <w:vAlign w:val="center"/>
          </w:tcPr>
          <w:p w14:paraId="4BAB5F07">
            <w:pPr>
              <w:keepNext w:val="0"/>
              <w:keepLines w:val="0"/>
              <w:pageBreakBefore w:val="0"/>
              <w:widowControl w:val="0"/>
              <w:tabs>
                <w:tab w:val="left" w:pos="7665"/>
              </w:tabs>
              <w:kinsoku/>
              <w:wordWrap/>
              <w:overflowPunct/>
              <w:topLinePunct w:val="0"/>
              <w:autoSpaceDE/>
              <w:autoSpaceDN/>
              <w:bidi w:val="0"/>
              <w:adjustRightInd/>
              <w:snapToGrid/>
              <w:spacing w:line="240" w:lineRule="auto"/>
              <w:jc w:val="center"/>
              <w:textAlignment w:val="auto"/>
              <w:rPr>
                <w:rFonts w:hint="default" w:hAnsi="宋体" w:eastAsia="宋体" w:cs="宋体"/>
                <w:bCs/>
                <w:spacing w:val="-6"/>
                <w:sz w:val="24"/>
                <w:vertAlign w:val="baseline"/>
                <w:lang w:val="en-US" w:eastAsia="zh-CN"/>
              </w:rPr>
            </w:pPr>
            <w:r>
              <w:rPr>
                <w:rFonts w:hint="eastAsia" w:hAnsi="宋体" w:cs="宋体"/>
                <w:bCs/>
                <w:spacing w:val="-6"/>
                <w:sz w:val="24"/>
                <w:vertAlign w:val="baseline"/>
                <w:lang w:val="en-US" w:eastAsia="zh-CN"/>
              </w:rPr>
              <w:t>总监理工程师（1人）</w:t>
            </w:r>
          </w:p>
        </w:tc>
        <w:tc>
          <w:tcPr>
            <w:tcW w:w="6077" w:type="dxa"/>
            <w:noWrap w:val="0"/>
            <w:vAlign w:val="center"/>
          </w:tcPr>
          <w:p w14:paraId="7F489C24">
            <w:pPr>
              <w:keepNext w:val="0"/>
              <w:keepLines w:val="0"/>
              <w:pageBreakBefore w:val="0"/>
              <w:widowControl w:val="0"/>
              <w:tabs>
                <w:tab w:val="left" w:pos="7665"/>
              </w:tabs>
              <w:kinsoku/>
              <w:wordWrap/>
              <w:overflowPunct/>
              <w:topLinePunct w:val="0"/>
              <w:autoSpaceDE/>
              <w:autoSpaceDN/>
              <w:bidi w:val="0"/>
              <w:adjustRightInd/>
              <w:snapToGrid/>
              <w:spacing w:line="240" w:lineRule="auto"/>
              <w:jc w:val="center"/>
              <w:textAlignment w:val="auto"/>
              <w:rPr>
                <w:rFonts w:hint="default" w:hAnsi="宋体" w:eastAsia="宋体" w:cs="宋体"/>
                <w:bCs/>
                <w:spacing w:val="-6"/>
                <w:sz w:val="24"/>
                <w:vertAlign w:val="baseline"/>
                <w:lang w:val="en-US" w:eastAsia="zh-CN"/>
              </w:rPr>
            </w:pPr>
            <w:r>
              <w:rPr>
                <w:rFonts w:hint="eastAsia" w:hAnsi="宋体" w:cs="宋体"/>
                <w:bCs/>
                <w:spacing w:val="-6"/>
                <w:sz w:val="24"/>
                <w:vertAlign w:val="baseline"/>
                <w:lang w:val="en-US" w:eastAsia="zh-CN"/>
              </w:rPr>
              <w:t>信息系统监理师证书、信息系统项目管理师（高级证书）</w:t>
            </w:r>
          </w:p>
        </w:tc>
      </w:tr>
      <w:tr w14:paraId="7F89C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dxa"/>
            <w:noWrap w:val="0"/>
            <w:vAlign w:val="center"/>
          </w:tcPr>
          <w:p w14:paraId="5C0A32C1">
            <w:pPr>
              <w:keepNext w:val="0"/>
              <w:keepLines w:val="0"/>
              <w:pageBreakBefore w:val="0"/>
              <w:widowControl w:val="0"/>
              <w:tabs>
                <w:tab w:val="left" w:pos="7665"/>
              </w:tabs>
              <w:kinsoku/>
              <w:wordWrap/>
              <w:overflowPunct/>
              <w:topLinePunct w:val="0"/>
              <w:autoSpaceDE/>
              <w:autoSpaceDN/>
              <w:bidi w:val="0"/>
              <w:adjustRightInd/>
              <w:snapToGrid/>
              <w:spacing w:line="240" w:lineRule="auto"/>
              <w:jc w:val="center"/>
              <w:textAlignment w:val="auto"/>
              <w:rPr>
                <w:rFonts w:hint="default" w:hAnsi="宋体" w:cs="宋体"/>
                <w:bCs/>
                <w:spacing w:val="-6"/>
                <w:sz w:val="24"/>
                <w:vertAlign w:val="baseline"/>
                <w:lang w:val="en-US"/>
              </w:rPr>
            </w:pPr>
            <w:r>
              <w:rPr>
                <w:rFonts w:hint="eastAsia" w:hAnsi="宋体" w:cs="宋体"/>
                <w:bCs/>
                <w:spacing w:val="-6"/>
                <w:sz w:val="24"/>
                <w:vertAlign w:val="baseline"/>
                <w:lang w:val="en-US" w:eastAsia="zh-CN"/>
              </w:rPr>
              <w:t>总监理工程师代表（1人）</w:t>
            </w:r>
          </w:p>
        </w:tc>
        <w:tc>
          <w:tcPr>
            <w:tcW w:w="6077" w:type="dxa"/>
            <w:noWrap w:val="0"/>
            <w:vAlign w:val="center"/>
          </w:tcPr>
          <w:p w14:paraId="038DED3E">
            <w:pPr>
              <w:keepNext w:val="0"/>
              <w:keepLines w:val="0"/>
              <w:pageBreakBefore w:val="0"/>
              <w:widowControl w:val="0"/>
              <w:tabs>
                <w:tab w:val="left" w:pos="7665"/>
              </w:tabs>
              <w:kinsoku/>
              <w:wordWrap/>
              <w:overflowPunct/>
              <w:topLinePunct w:val="0"/>
              <w:autoSpaceDE/>
              <w:autoSpaceDN/>
              <w:bidi w:val="0"/>
              <w:adjustRightInd/>
              <w:snapToGrid/>
              <w:spacing w:line="240" w:lineRule="auto"/>
              <w:jc w:val="center"/>
              <w:textAlignment w:val="auto"/>
              <w:rPr>
                <w:rFonts w:hint="default" w:hAnsi="宋体" w:cs="宋体"/>
                <w:bCs/>
                <w:spacing w:val="-6"/>
                <w:sz w:val="24"/>
                <w:vertAlign w:val="baseline"/>
                <w:lang w:val="en-US"/>
              </w:rPr>
            </w:pPr>
            <w:r>
              <w:rPr>
                <w:rFonts w:hint="eastAsia" w:hAnsi="宋体" w:cs="宋体"/>
                <w:bCs/>
                <w:spacing w:val="-6"/>
                <w:sz w:val="24"/>
                <w:vertAlign w:val="baseline"/>
                <w:lang w:val="en-US" w:eastAsia="zh-CN"/>
              </w:rPr>
              <w:t>信息系统监理师证书、软件性能测试高级工程师证书</w:t>
            </w:r>
          </w:p>
        </w:tc>
      </w:tr>
      <w:tr w14:paraId="0015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dxa"/>
            <w:noWrap w:val="0"/>
            <w:vAlign w:val="center"/>
          </w:tcPr>
          <w:p w14:paraId="1D967F1D">
            <w:pPr>
              <w:keepNext w:val="0"/>
              <w:keepLines w:val="0"/>
              <w:pageBreakBefore w:val="0"/>
              <w:widowControl w:val="0"/>
              <w:tabs>
                <w:tab w:val="left" w:pos="7665"/>
              </w:tabs>
              <w:kinsoku/>
              <w:wordWrap/>
              <w:overflowPunct/>
              <w:topLinePunct w:val="0"/>
              <w:autoSpaceDE/>
              <w:autoSpaceDN/>
              <w:bidi w:val="0"/>
              <w:adjustRightInd/>
              <w:snapToGrid/>
              <w:spacing w:line="240" w:lineRule="auto"/>
              <w:jc w:val="center"/>
              <w:textAlignment w:val="auto"/>
              <w:rPr>
                <w:rFonts w:hint="default" w:hAnsi="宋体" w:eastAsia="宋体" w:cs="宋体"/>
                <w:bCs/>
                <w:spacing w:val="-6"/>
                <w:sz w:val="24"/>
                <w:vertAlign w:val="baseline"/>
                <w:lang w:val="en-US" w:eastAsia="zh-CN"/>
              </w:rPr>
            </w:pPr>
            <w:r>
              <w:rPr>
                <w:rFonts w:hint="eastAsia" w:hAnsi="宋体" w:cs="宋体"/>
                <w:bCs/>
                <w:spacing w:val="-6"/>
                <w:sz w:val="24"/>
                <w:vertAlign w:val="baseline"/>
                <w:lang w:val="en-US" w:eastAsia="zh-CN"/>
              </w:rPr>
              <w:t>现场监理工程师（1人）</w:t>
            </w:r>
          </w:p>
        </w:tc>
        <w:tc>
          <w:tcPr>
            <w:tcW w:w="6077" w:type="dxa"/>
            <w:noWrap w:val="0"/>
            <w:vAlign w:val="center"/>
          </w:tcPr>
          <w:p w14:paraId="0FCD3E9B">
            <w:pPr>
              <w:keepNext w:val="0"/>
              <w:keepLines w:val="0"/>
              <w:pageBreakBefore w:val="0"/>
              <w:widowControl w:val="0"/>
              <w:tabs>
                <w:tab w:val="left" w:pos="7665"/>
              </w:tabs>
              <w:kinsoku/>
              <w:wordWrap/>
              <w:overflowPunct/>
              <w:topLinePunct w:val="0"/>
              <w:autoSpaceDE/>
              <w:autoSpaceDN/>
              <w:bidi w:val="0"/>
              <w:adjustRightInd/>
              <w:snapToGrid/>
              <w:spacing w:line="240" w:lineRule="auto"/>
              <w:jc w:val="center"/>
              <w:textAlignment w:val="auto"/>
              <w:rPr>
                <w:rFonts w:hint="default" w:hAnsi="宋体" w:cs="宋体"/>
                <w:bCs/>
                <w:spacing w:val="-6"/>
                <w:sz w:val="24"/>
                <w:vertAlign w:val="baseline"/>
                <w:lang w:val="en-US"/>
              </w:rPr>
            </w:pPr>
            <w:r>
              <w:rPr>
                <w:rFonts w:hint="eastAsia" w:hAnsi="宋体" w:cs="宋体"/>
                <w:bCs/>
                <w:spacing w:val="-6"/>
                <w:sz w:val="24"/>
                <w:vertAlign w:val="baseline"/>
                <w:lang w:val="en-US" w:eastAsia="zh-CN"/>
              </w:rPr>
              <w:t>信息系统监理师证书、系统集成项目管理工程师证书</w:t>
            </w:r>
          </w:p>
        </w:tc>
      </w:tr>
      <w:tr w14:paraId="525A0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1" w:type="dxa"/>
            <w:noWrap w:val="0"/>
            <w:vAlign w:val="center"/>
          </w:tcPr>
          <w:p w14:paraId="4F5A3D7B">
            <w:pPr>
              <w:keepNext w:val="0"/>
              <w:keepLines w:val="0"/>
              <w:pageBreakBefore w:val="0"/>
              <w:widowControl w:val="0"/>
              <w:tabs>
                <w:tab w:val="left" w:pos="7665"/>
              </w:tabs>
              <w:kinsoku/>
              <w:wordWrap/>
              <w:overflowPunct/>
              <w:topLinePunct w:val="0"/>
              <w:autoSpaceDE/>
              <w:autoSpaceDN/>
              <w:bidi w:val="0"/>
              <w:adjustRightInd/>
              <w:snapToGrid/>
              <w:spacing w:line="240" w:lineRule="auto"/>
              <w:jc w:val="center"/>
              <w:textAlignment w:val="auto"/>
              <w:rPr>
                <w:rFonts w:hint="default" w:hAnsi="宋体" w:cs="宋体"/>
                <w:bCs/>
                <w:spacing w:val="-6"/>
                <w:sz w:val="24"/>
                <w:vertAlign w:val="baseline"/>
                <w:lang w:val="en-US" w:eastAsia="zh-CN"/>
              </w:rPr>
            </w:pPr>
            <w:r>
              <w:rPr>
                <w:rFonts w:hint="eastAsia" w:hAnsi="宋体" w:cs="宋体"/>
                <w:bCs/>
                <w:spacing w:val="-6"/>
                <w:sz w:val="24"/>
                <w:vertAlign w:val="baseline"/>
                <w:lang w:val="en-US" w:eastAsia="zh-CN"/>
              </w:rPr>
              <w:t>文档管理员（1人）</w:t>
            </w:r>
          </w:p>
        </w:tc>
        <w:tc>
          <w:tcPr>
            <w:tcW w:w="6077" w:type="dxa"/>
            <w:noWrap w:val="0"/>
            <w:vAlign w:val="center"/>
          </w:tcPr>
          <w:p w14:paraId="763F957E">
            <w:pPr>
              <w:keepNext w:val="0"/>
              <w:keepLines w:val="0"/>
              <w:pageBreakBefore w:val="0"/>
              <w:widowControl w:val="0"/>
              <w:tabs>
                <w:tab w:val="left" w:pos="7665"/>
              </w:tabs>
              <w:kinsoku/>
              <w:wordWrap/>
              <w:overflowPunct/>
              <w:topLinePunct w:val="0"/>
              <w:autoSpaceDE/>
              <w:autoSpaceDN/>
              <w:bidi w:val="0"/>
              <w:adjustRightInd/>
              <w:snapToGrid/>
              <w:spacing w:line="240" w:lineRule="auto"/>
              <w:jc w:val="center"/>
              <w:textAlignment w:val="auto"/>
              <w:rPr>
                <w:rFonts w:hint="eastAsia" w:hAnsi="宋体" w:cs="宋体"/>
                <w:bCs/>
                <w:spacing w:val="-6"/>
                <w:sz w:val="24"/>
                <w:vertAlign w:val="baseline"/>
              </w:rPr>
            </w:pPr>
            <w:r>
              <w:rPr>
                <w:rFonts w:hint="eastAsia" w:hAnsi="宋体" w:cs="宋体"/>
                <w:bCs/>
                <w:spacing w:val="-6"/>
                <w:sz w:val="24"/>
                <w:vertAlign w:val="baseline"/>
                <w:lang w:val="en-US" w:eastAsia="zh-CN"/>
              </w:rPr>
              <w:t>信息系统监理师证书</w:t>
            </w:r>
          </w:p>
        </w:tc>
      </w:tr>
    </w:tbl>
    <w:p w14:paraId="4310C05D">
      <w:pPr>
        <w:keepNext w:val="0"/>
        <w:keepLines w:val="0"/>
        <w:pageBreakBefore w:val="0"/>
        <w:widowControl w:val="0"/>
        <w:tabs>
          <w:tab w:val="left" w:pos="7665"/>
        </w:tabs>
        <w:kinsoku/>
        <w:wordWrap/>
        <w:overflowPunct/>
        <w:topLinePunct w:val="0"/>
        <w:autoSpaceDE/>
        <w:autoSpaceDN/>
        <w:bidi w:val="0"/>
        <w:adjustRightInd/>
        <w:snapToGrid/>
        <w:spacing w:before="313" w:beforeLines="100" w:line="360" w:lineRule="auto"/>
        <w:ind w:firstLine="456" w:firstLineChars="200"/>
        <w:jc w:val="left"/>
        <w:textAlignment w:val="auto"/>
        <w:rPr>
          <w:rFonts w:hint="eastAsia" w:hAnsi="宋体" w:eastAsia="宋体" w:cs="宋体"/>
          <w:bCs/>
          <w:spacing w:val="-6"/>
          <w:sz w:val="24"/>
          <w:lang w:eastAsia="zh-CN"/>
        </w:rPr>
      </w:pPr>
      <w:r>
        <w:rPr>
          <w:rFonts w:hint="eastAsia" w:hAnsi="宋体" w:cs="宋体"/>
          <w:bCs/>
          <w:spacing w:val="-6"/>
          <w:sz w:val="24"/>
        </w:rPr>
        <w:t>3.1项目监理部须编制监理规划，应包含目标规划、动态控制措施、监理纪律守则和人员的定岗、职责等;根据建设方确定的项目分组情况，配置固定专门的监理人员响</w:t>
      </w:r>
      <w:r>
        <w:rPr>
          <w:rFonts w:hint="eastAsia" w:hAnsi="宋体" w:cs="宋体"/>
          <w:bCs/>
          <w:spacing w:val="-6"/>
          <w:sz w:val="24"/>
          <w:lang w:eastAsia="zh-CN"/>
        </w:rPr>
        <w:t>。</w:t>
      </w:r>
    </w:p>
    <w:p w14:paraId="53D43E67">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56" w:firstLineChars="200"/>
        <w:jc w:val="left"/>
        <w:textAlignment w:val="auto"/>
        <w:rPr>
          <w:rFonts w:hint="eastAsia" w:hAnsi="宋体" w:cs="宋体"/>
          <w:bCs/>
          <w:spacing w:val="-6"/>
          <w:sz w:val="24"/>
        </w:rPr>
      </w:pPr>
      <w:r>
        <w:rPr>
          <w:rFonts w:hint="eastAsia" w:hAnsi="宋体" w:cs="宋体"/>
          <w:bCs/>
          <w:spacing w:val="-6"/>
          <w:sz w:val="24"/>
        </w:rPr>
        <w:t>3.2项目监理部及其人员需自行配备交通、通信、生活、办公、检测等设备、设施或仪表，以确保监理方案的顺利实施。</w:t>
      </w:r>
    </w:p>
    <w:p w14:paraId="6DB12245">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56" w:firstLineChars="200"/>
        <w:jc w:val="left"/>
        <w:textAlignment w:val="auto"/>
        <w:rPr>
          <w:rFonts w:hint="eastAsia" w:hAnsi="宋体" w:cs="宋体"/>
          <w:bCs/>
          <w:spacing w:val="-6"/>
          <w:sz w:val="24"/>
        </w:rPr>
      </w:pPr>
      <w:r>
        <w:rPr>
          <w:rFonts w:hint="eastAsia" w:hAnsi="宋体" w:cs="宋体"/>
          <w:bCs/>
          <w:spacing w:val="-6"/>
          <w:sz w:val="24"/>
        </w:rPr>
        <w:t>3.3项目监理部须协助业主收集、整理、归纳项目资料，并且形成电子文档。</w:t>
      </w:r>
    </w:p>
    <w:p w14:paraId="5C0170B7">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56" w:firstLineChars="200"/>
        <w:jc w:val="left"/>
        <w:textAlignment w:val="auto"/>
        <w:rPr>
          <w:rFonts w:hint="eastAsia" w:hAnsi="宋体" w:cs="宋体"/>
          <w:bCs/>
          <w:spacing w:val="-6"/>
          <w:sz w:val="24"/>
        </w:rPr>
      </w:pPr>
      <w:r>
        <w:rPr>
          <w:rFonts w:hint="eastAsia" w:hAnsi="宋体" w:cs="宋体"/>
          <w:bCs/>
          <w:spacing w:val="-6"/>
          <w:sz w:val="24"/>
        </w:rPr>
        <w:t>3.4从事项目监理活动能遵循“守法、诚信、公正、科学”的准则。</w:t>
      </w:r>
    </w:p>
    <w:p w14:paraId="7320FC39">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56" w:firstLineChars="200"/>
        <w:jc w:val="left"/>
        <w:textAlignment w:val="auto"/>
        <w:rPr>
          <w:rFonts w:hint="eastAsia" w:hAnsi="宋体" w:cs="宋体"/>
          <w:bCs/>
          <w:spacing w:val="-6"/>
          <w:sz w:val="24"/>
        </w:rPr>
      </w:pPr>
      <w:r>
        <w:rPr>
          <w:rFonts w:hint="eastAsia" w:hAnsi="宋体" w:cs="宋体"/>
          <w:bCs/>
          <w:spacing w:val="-6"/>
          <w:sz w:val="24"/>
        </w:rPr>
        <w:t>3.5监理单位应根据项目情况，制定表格来加强对设计、实施、验收的控制力度包括但不限于如下方面:</w:t>
      </w:r>
    </w:p>
    <w:p w14:paraId="58E38C64">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56" w:firstLineChars="200"/>
        <w:jc w:val="left"/>
        <w:textAlignment w:val="auto"/>
        <w:rPr>
          <w:rFonts w:hint="eastAsia" w:hAnsi="宋体" w:eastAsia="宋体" w:cs="宋体"/>
          <w:bCs/>
          <w:spacing w:val="-6"/>
          <w:sz w:val="24"/>
          <w:lang w:eastAsia="zh-CN"/>
        </w:rPr>
      </w:pPr>
      <w:r>
        <w:rPr>
          <w:rFonts w:hint="eastAsia" w:hAnsi="宋体" w:cs="宋体"/>
          <w:bCs/>
          <w:spacing w:val="-6"/>
          <w:sz w:val="24"/>
        </w:rPr>
        <w:t>3.5.1针对关键环节，制定项目进度计划详表，在监理规划中报送</w:t>
      </w:r>
      <w:r>
        <w:rPr>
          <w:rFonts w:hint="eastAsia" w:hAnsi="宋体" w:cs="宋体"/>
          <w:bCs/>
          <w:spacing w:val="-6"/>
          <w:sz w:val="24"/>
          <w:lang w:eastAsia="zh-CN"/>
        </w:rPr>
        <w:t>；</w:t>
      </w:r>
    </w:p>
    <w:p w14:paraId="17C36A8E">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56" w:firstLineChars="200"/>
        <w:jc w:val="left"/>
        <w:textAlignment w:val="auto"/>
        <w:rPr>
          <w:rFonts w:hint="eastAsia" w:hAnsi="宋体" w:eastAsia="宋体" w:cs="宋体"/>
          <w:bCs/>
          <w:spacing w:val="-6"/>
          <w:sz w:val="24"/>
          <w:lang w:eastAsia="zh-CN"/>
        </w:rPr>
      </w:pPr>
      <w:r>
        <w:rPr>
          <w:rFonts w:hint="eastAsia" w:hAnsi="宋体" w:cs="宋体"/>
          <w:bCs/>
          <w:spacing w:val="-6"/>
          <w:sz w:val="24"/>
        </w:rPr>
        <w:t>3.5.2监理周报、月报</w:t>
      </w:r>
      <w:r>
        <w:rPr>
          <w:rFonts w:hint="eastAsia" w:hAnsi="宋体" w:cs="宋体"/>
          <w:bCs/>
          <w:spacing w:val="-6"/>
          <w:sz w:val="24"/>
          <w:lang w:eastAsia="zh-CN"/>
        </w:rPr>
        <w:t>；</w:t>
      </w:r>
    </w:p>
    <w:p w14:paraId="74E2BBE7">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56" w:firstLineChars="200"/>
        <w:jc w:val="left"/>
        <w:textAlignment w:val="auto"/>
        <w:rPr>
          <w:rFonts w:hint="eastAsia" w:hAnsi="宋体" w:eastAsia="宋体" w:cs="宋体"/>
          <w:bCs/>
          <w:spacing w:val="-6"/>
          <w:sz w:val="24"/>
          <w:lang w:eastAsia="zh-CN"/>
        </w:rPr>
      </w:pPr>
      <w:r>
        <w:rPr>
          <w:rFonts w:hint="eastAsia" w:hAnsi="宋体" w:cs="宋体"/>
          <w:bCs/>
          <w:spacing w:val="-6"/>
          <w:sz w:val="24"/>
        </w:rPr>
        <w:t>3.5.3主要工作量记录表，在监理月报中报送</w:t>
      </w:r>
      <w:r>
        <w:rPr>
          <w:rFonts w:hint="eastAsia" w:hAnsi="宋体" w:cs="宋体"/>
          <w:bCs/>
          <w:spacing w:val="-6"/>
          <w:sz w:val="24"/>
          <w:lang w:eastAsia="zh-CN"/>
        </w:rPr>
        <w:t>；</w:t>
      </w:r>
    </w:p>
    <w:p w14:paraId="354E9187">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56" w:firstLineChars="200"/>
        <w:jc w:val="left"/>
        <w:textAlignment w:val="auto"/>
        <w:rPr>
          <w:rFonts w:hint="eastAsia" w:hAnsi="宋体" w:cs="宋体"/>
          <w:bCs/>
          <w:spacing w:val="-6"/>
          <w:sz w:val="24"/>
        </w:rPr>
      </w:pPr>
      <w:r>
        <w:rPr>
          <w:rFonts w:hint="eastAsia" w:hAnsi="宋体" w:cs="宋体"/>
          <w:bCs/>
          <w:spacing w:val="-6"/>
          <w:sz w:val="24"/>
        </w:rPr>
        <w:t>3.5.4其它现场验收表格。</w:t>
      </w:r>
    </w:p>
    <w:p w14:paraId="4DEA59D5">
      <w:pPr>
        <w:pStyle w:val="2"/>
        <w:keepNext w:val="0"/>
        <w:keepLines w:val="0"/>
        <w:pageBreakBefore w:val="0"/>
        <w:widowControl w:val="0"/>
        <w:kinsoku/>
        <w:wordWrap/>
        <w:overflowPunct/>
        <w:topLinePunct w:val="0"/>
        <w:autoSpaceDE/>
        <w:autoSpaceDN/>
        <w:bidi w:val="0"/>
        <w:adjustRightInd/>
        <w:snapToGrid/>
        <w:spacing w:after="0" w:line="360" w:lineRule="auto"/>
        <w:ind w:firstLine="456" w:firstLineChars="200"/>
        <w:jc w:val="left"/>
        <w:textAlignment w:val="auto"/>
        <w:rPr>
          <w:rFonts w:hint="eastAsia" w:hAnsi="宋体" w:cs="宋体"/>
          <w:bCs/>
          <w:spacing w:val="-6"/>
          <w:sz w:val="24"/>
          <w:lang w:val="en-US" w:eastAsia="zh-CN"/>
        </w:rPr>
      </w:pPr>
      <w:r>
        <w:rPr>
          <w:rFonts w:hint="eastAsia" w:hAnsi="宋体" w:cs="宋体"/>
          <w:bCs/>
          <w:spacing w:val="-6"/>
          <w:sz w:val="24"/>
          <w:lang w:val="en-US" w:eastAsia="zh-CN"/>
        </w:rPr>
        <w:t>4.合同管理安排</w:t>
      </w:r>
    </w:p>
    <w:p w14:paraId="73B205A2">
      <w:pPr>
        <w:pStyle w:val="2"/>
        <w:keepNext w:val="0"/>
        <w:keepLines w:val="0"/>
        <w:pageBreakBefore w:val="0"/>
        <w:widowControl w:val="0"/>
        <w:kinsoku/>
        <w:wordWrap/>
        <w:overflowPunct/>
        <w:topLinePunct w:val="0"/>
        <w:autoSpaceDE/>
        <w:autoSpaceDN/>
        <w:bidi w:val="0"/>
        <w:adjustRightInd/>
        <w:snapToGrid/>
        <w:spacing w:after="0" w:line="360" w:lineRule="auto"/>
        <w:ind w:firstLine="456" w:firstLineChars="200"/>
        <w:jc w:val="left"/>
        <w:textAlignment w:val="auto"/>
        <w:rPr>
          <w:rFonts w:hint="default" w:hAnsi="宋体" w:cs="宋体"/>
          <w:bCs/>
          <w:spacing w:val="-6"/>
          <w:sz w:val="24"/>
          <w:highlight w:val="none"/>
          <w:lang w:val="en-US" w:eastAsia="zh-CN"/>
        </w:rPr>
      </w:pPr>
      <w:r>
        <w:rPr>
          <w:rFonts w:hint="eastAsia" w:hAnsi="宋体" w:cs="宋体"/>
          <w:bCs/>
          <w:spacing w:val="-6"/>
          <w:sz w:val="24"/>
          <w:lang w:val="en-US" w:eastAsia="zh-CN"/>
        </w:rPr>
        <w:t>4.1合同</w:t>
      </w:r>
      <w:r>
        <w:rPr>
          <w:rFonts w:hint="eastAsia" w:hAnsi="宋体" w:cs="宋体"/>
          <w:bCs/>
          <w:spacing w:val="-6"/>
          <w:sz w:val="24"/>
          <w:highlight w:val="none"/>
          <w:lang w:val="en-US" w:eastAsia="zh-CN"/>
        </w:rPr>
        <w:t>履约期限：合同签订之日起至项目完成；</w:t>
      </w:r>
    </w:p>
    <w:p w14:paraId="515242F5">
      <w:pPr>
        <w:pStyle w:val="2"/>
        <w:keepNext w:val="0"/>
        <w:keepLines w:val="0"/>
        <w:pageBreakBefore w:val="0"/>
        <w:widowControl w:val="0"/>
        <w:kinsoku/>
        <w:wordWrap/>
        <w:overflowPunct/>
        <w:topLinePunct w:val="0"/>
        <w:autoSpaceDE/>
        <w:autoSpaceDN/>
        <w:bidi w:val="0"/>
        <w:adjustRightInd/>
        <w:snapToGrid/>
        <w:spacing w:after="0" w:line="360" w:lineRule="auto"/>
        <w:ind w:firstLine="456" w:firstLineChars="200"/>
        <w:jc w:val="left"/>
        <w:textAlignment w:val="auto"/>
        <w:rPr>
          <w:rFonts w:hint="default" w:ascii="Times New Roman" w:hAnsi="宋体" w:eastAsia="宋体" w:cs="宋体"/>
          <w:bCs/>
          <w:spacing w:val="-6"/>
          <w:sz w:val="24"/>
          <w:highlight w:val="none"/>
          <w:lang w:val="en-US" w:eastAsia="zh-CN"/>
        </w:rPr>
      </w:pPr>
      <w:r>
        <w:rPr>
          <w:rFonts w:hint="eastAsia" w:ascii="Times New Roman" w:hAnsi="宋体" w:eastAsia="宋体" w:cs="宋体"/>
          <w:bCs/>
          <w:spacing w:val="-6"/>
          <w:sz w:val="24"/>
          <w:highlight w:val="none"/>
          <w:lang w:val="en-US" w:eastAsia="zh-CN"/>
        </w:rPr>
        <w:t>4.2</w:t>
      </w:r>
      <w:r>
        <w:rPr>
          <w:rFonts w:hint="default" w:ascii="Times New Roman" w:hAnsi="宋体" w:eastAsia="宋体" w:cs="宋体"/>
          <w:bCs/>
          <w:spacing w:val="-6"/>
          <w:sz w:val="24"/>
          <w:highlight w:val="none"/>
          <w:lang w:val="en-US" w:eastAsia="zh-CN"/>
        </w:rPr>
        <w:t>合同履约地点</w:t>
      </w:r>
      <w:r>
        <w:rPr>
          <w:rFonts w:hint="eastAsia" w:ascii="Times New Roman" w:hAnsi="宋体" w:eastAsia="宋体" w:cs="宋体"/>
          <w:bCs/>
          <w:spacing w:val="-6"/>
          <w:sz w:val="24"/>
          <w:highlight w:val="none"/>
          <w:lang w:val="en-US" w:eastAsia="zh-CN"/>
        </w:rPr>
        <w:t>：采购人指定地点；</w:t>
      </w:r>
    </w:p>
    <w:p w14:paraId="611BEB4D">
      <w:pPr>
        <w:pStyle w:val="2"/>
        <w:keepNext w:val="0"/>
        <w:keepLines w:val="0"/>
        <w:pageBreakBefore w:val="0"/>
        <w:widowControl w:val="0"/>
        <w:kinsoku/>
        <w:wordWrap/>
        <w:overflowPunct/>
        <w:topLinePunct w:val="0"/>
        <w:autoSpaceDE/>
        <w:autoSpaceDN/>
        <w:bidi w:val="0"/>
        <w:adjustRightInd/>
        <w:snapToGrid/>
        <w:spacing w:after="0" w:line="360" w:lineRule="auto"/>
        <w:ind w:firstLine="456" w:firstLineChars="200"/>
        <w:jc w:val="left"/>
        <w:textAlignment w:val="auto"/>
        <w:rPr>
          <w:rFonts w:hint="default" w:ascii="Times New Roman" w:hAnsi="宋体" w:eastAsia="宋体" w:cs="宋体"/>
          <w:bCs/>
          <w:spacing w:val="-6"/>
          <w:sz w:val="24"/>
          <w:highlight w:val="none"/>
          <w:lang w:val="en-US" w:eastAsia="zh-CN"/>
        </w:rPr>
      </w:pPr>
      <w:r>
        <w:rPr>
          <w:rFonts w:hint="eastAsia" w:ascii="Times New Roman" w:hAnsi="宋体" w:eastAsia="宋体" w:cs="宋体"/>
          <w:bCs/>
          <w:spacing w:val="-6"/>
          <w:sz w:val="24"/>
          <w:highlight w:val="none"/>
          <w:lang w:val="en-US" w:eastAsia="zh-CN"/>
        </w:rPr>
        <w:t>4.3</w:t>
      </w:r>
      <w:r>
        <w:rPr>
          <w:rFonts w:hint="default" w:ascii="Times New Roman" w:hAnsi="宋体" w:eastAsia="宋体" w:cs="宋体"/>
          <w:bCs/>
          <w:spacing w:val="-6"/>
          <w:sz w:val="24"/>
          <w:highlight w:val="none"/>
          <w:lang w:val="en-US" w:eastAsia="zh-CN"/>
        </w:rPr>
        <w:t>合同支付约定</w:t>
      </w:r>
      <w:r>
        <w:rPr>
          <w:rFonts w:hint="eastAsia" w:ascii="Times New Roman" w:hAnsi="宋体" w:eastAsia="宋体" w:cs="宋体"/>
          <w:bCs/>
          <w:spacing w:val="-6"/>
          <w:sz w:val="24"/>
          <w:highlight w:val="none"/>
          <w:lang w:val="en-US" w:eastAsia="zh-CN"/>
        </w:rPr>
        <w:t>：</w:t>
      </w:r>
      <w:r>
        <w:rPr>
          <w:rFonts w:hint="default" w:ascii="Times New Roman" w:hAnsi="宋体" w:eastAsia="宋体" w:cs="宋体"/>
          <w:bCs/>
          <w:spacing w:val="-6"/>
          <w:sz w:val="24"/>
          <w:highlight w:val="none"/>
          <w:lang w:val="en-US" w:eastAsia="zh-CN"/>
        </w:rPr>
        <w:t>合同签订后</w:t>
      </w:r>
      <w:r>
        <w:rPr>
          <w:rFonts w:hint="eastAsia" w:ascii="Times New Roman" w:hAnsi="宋体" w:eastAsia="宋体" w:cs="宋体"/>
          <w:bCs/>
          <w:spacing w:val="-6"/>
          <w:sz w:val="24"/>
          <w:highlight w:val="none"/>
          <w:lang w:val="en-US" w:eastAsia="zh-CN"/>
        </w:rPr>
        <w:t>，达到支付条件起30日内</w:t>
      </w:r>
      <w:r>
        <w:rPr>
          <w:rFonts w:hint="default" w:ascii="Times New Roman" w:hAnsi="宋体" w:eastAsia="宋体" w:cs="宋体"/>
          <w:bCs/>
          <w:spacing w:val="-6"/>
          <w:sz w:val="24"/>
          <w:highlight w:val="none"/>
          <w:lang w:val="en-US" w:eastAsia="zh-CN"/>
        </w:rPr>
        <w:t>支付40%，初验后</w:t>
      </w:r>
      <w:r>
        <w:rPr>
          <w:rFonts w:hint="eastAsia" w:ascii="Times New Roman" w:hAnsi="宋体" w:eastAsia="宋体" w:cs="宋体"/>
          <w:bCs/>
          <w:spacing w:val="-6"/>
          <w:sz w:val="24"/>
          <w:highlight w:val="none"/>
          <w:lang w:val="en-US" w:eastAsia="zh-CN"/>
        </w:rPr>
        <w:t>，达到支付条件起30日内</w:t>
      </w:r>
      <w:r>
        <w:rPr>
          <w:rFonts w:hint="default" w:ascii="Times New Roman" w:hAnsi="宋体" w:eastAsia="宋体" w:cs="宋体"/>
          <w:bCs/>
          <w:spacing w:val="-6"/>
          <w:sz w:val="24"/>
          <w:highlight w:val="none"/>
          <w:lang w:val="en-US" w:eastAsia="zh-CN"/>
        </w:rPr>
        <w:t>支付40%，终验后</w:t>
      </w:r>
      <w:r>
        <w:rPr>
          <w:rFonts w:hint="eastAsia" w:ascii="Times New Roman" w:hAnsi="宋体" w:eastAsia="宋体" w:cs="宋体"/>
          <w:bCs/>
          <w:spacing w:val="-6"/>
          <w:sz w:val="24"/>
          <w:highlight w:val="none"/>
          <w:lang w:val="en-US" w:eastAsia="zh-CN"/>
        </w:rPr>
        <w:t>，达到支付条件起30日内</w:t>
      </w:r>
      <w:r>
        <w:rPr>
          <w:rFonts w:hint="default" w:ascii="Times New Roman" w:hAnsi="宋体" w:eastAsia="宋体" w:cs="宋体"/>
          <w:bCs/>
          <w:spacing w:val="-6"/>
          <w:sz w:val="24"/>
          <w:highlight w:val="none"/>
          <w:lang w:val="en-US" w:eastAsia="zh-CN"/>
        </w:rPr>
        <w:t>支付20%</w:t>
      </w:r>
      <w:r>
        <w:rPr>
          <w:rFonts w:hint="eastAsia" w:ascii="Times New Roman" w:hAnsi="宋体" w:eastAsia="宋体" w:cs="宋体"/>
          <w:bCs/>
          <w:spacing w:val="-6"/>
          <w:sz w:val="24"/>
          <w:highlight w:val="none"/>
          <w:lang w:val="en-US" w:eastAsia="zh-CN"/>
        </w:rPr>
        <w:t>；</w:t>
      </w:r>
    </w:p>
    <w:p w14:paraId="2DD490C4">
      <w:pPr>
        <w:pStyle w:val="2"/>
        <w:keepNext w:val="0"/>
        <w:keepLines w:val="0"/>
        <w:pageBreakBefore w:val="0"/>
        <w:widowControl w:val="0"/>
        <w:kinsoku/>
        <w:wordWrap/>
        <w:overflowPunct/>
        <w:topLinePunct w:val="0"/>
        <w:autoSpaceDE/>
        <w:autoSpaceDN/>
        <w:bidi w:val="0"/>
        <w:adjustRightInd/>
        <w:snapToGrid/>
        <w:spacing w:after="0" w:line="360" w:lineRule="auto"/>
        <w:ind w:firstLine="456" w:firstLineChars="200"/>
        <w:jc w:val="left"/>
        <w:textAlignment w:val="auto"/>
        <w:rPr>
          <w:rFonts w:hint="default" w:ascii="Times New Roman" w:hAnsi="宋体" w:eastAsia="宋体" w:cs="宋体"/>
          <w:bCs/>
          <w:spacing w:val="-6"/>
          <w:sz w:val="24"/>
          <w:lang w:val="en-US" w:eastAsia="zh-CN"/>
        </w:rPr>
      </w:pPr>
      <w:r>
        <w:rPr>
          <w:rFonts w:hint="eastAsia" w:ascii="Times New Roman" w:hAnsi="宋体" w:eastAsia="宋体" w:cs="宋体"/>
          <w:bCs/>
          <w:spacing w:val="-6"/>
          <w:sz w:val="24"/>
          <w:lang w:val="en-US" w:eastAsia="zh-CN"/>
        </w:rPr>
        <w:t>4.4</w:t>
      </w:r>
      <w:r>
        <w:rPr>
          <w:rFonts w:hint="default" w:ascii="Times New Roman" w:hAnsi="宋体" w:eastAsia="宋体" w:cs="宋体"/>
          <w:bCs/>
          <w:spacing w:val="-6"/>
          <w:sz w:val="24"/>
          <w:lang w:val="en-US" w:eastAsia="zh-CN"/>
        </w:rPr>
        <w:t>违约责任与解决争议的方法</w:t>
      </w:r>
      <w:r>
        <w:rPr>
          <w:rFonts w:hint="eastAsia" w:ascii="Times New Roman" w:hAnsi="宋体" w:eastAsia="宋体" w:cs="宋体"/>
          <w:bCs/>
          <w:spacing w:val="-6"/>
          <w:sz w:val="24"/>
          <w:lang w:val="en-US" w:eastAsia="zh-CN"/>
        </w:rPr>
        <w:t>：</w:t>
      </w:r>
      <w:r>
        <w:rPr>
          <w:rFonts w:hint="default" w:ascii="Times New Roman" w:hAnsi="宋体" w:eastAsia="宋体" w:cs="宋体"/>
          <w:bCs/>
          <w:spacing w:val="-6"/>
          <w:sz w:val="24"/>
          <w:lang w:val="en-US" w:eastAsia="zh-CN"/>
        </w:rPr>
        <w:t>双方应协商解决，协商不成，提交履约所在地有管辖权人民法院管辖。</w:t>
      </w:r>
    </w:p>
    <w:p w14:paraId="79D54576">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highlight w:val="none"/>
          <w:lang w:val="en-US" w:eastAsia="zh-CN"/>
        </w:rPr>
      </w:pPr>
      <w:r>
        <w:rPr>
          <w:rFonts w:hint="eastAsia" w:ascii="宋体" w:hAnsi="宋体" w:eastAsia="宋体" w:cs="宋体"/>
          <w:kern w:val="2"/>
          <w:sz w:val="24"/>
          <w:szCs w:val="24"/>
          <w:lang w:val="en-US" w:eastAsia="zh-CN" w:bidi="ar-SA"/>
        </w:rPr>
        <w:t>5.</w:t>
      </w:r>
      <w:r>
        <w:rPr>
          <w:rFonts w:hint="eastAsia" w:ascii="宋体" w:hAnsi="宋体" w:cs="宋体"/>
          <w:sz w:val="24"/>
          <w:highlight w:val="none"/>
          <w:lang w:val="en-US" w:eastAsia="zh-CN"/>
        </w:rPr>
        <w:t>履约验收方案</w:t>
      </w:r>
    </w:p>
    <w:p w14:paraId="535E654E">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cs="宋体"/>
          <w:sz w:val="24"/>
          <w:highlight w:val="none"/>
          <w:lang w:val="en-US" w:eastAsia="zh-CN"/>
        </w:rPr>
      </w:pPr>
      <w:r>
        <w:rPr>
          <w:rFonts w:hint="eastAsia" w:ascii="宋体" w:hAnsi="宋体" w:cs="宋体"/>
          <w:sz w:val="24"/>
          <w:highlight w:val="none"/>
          <w:lang w:val="en-US" w:eastAsia="zh-CN"/>
        </w:rPr>
        <w:t>5.1履约验收程序:科室自行验收；</w:t>
      </w:r>
    </w:p>
    <w:p w14:paraId="644E751C">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cs="宋体"/>
          <w:sz w:val="24"/>
          <w:highlight w:val="none"/>
          <w:lang w:val="en-US" w:eastAsia="zh-CN"/>
        </w:rPr>
      </w:pPr>
      <w:r>
        <w:rPr>
          <w:rFonts w:hint="eastAsia" w:ascii="宋体" w:hAnsi="宋体" w:cs="宋体"/>
          <w:sz w:val="24"/>
          <w:highlight w:val="none"/>
          <w:lang w:val="en-US" w:eastAsia="zh-CN"/>
        </w:rPr>
        <w:t>5.2 履约验收时间:项目完成后验收；</w:t>
      </w:r>
    </w:p>
    <w:p w14:paraId="3FEE4C07">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cs="宋体"/>
          <w:sz w:val="24"/>
          <w:highlight w:val="none"/>
          <w:lang w:val="en-US" w:eastAsia="zh-CN"/>
        </w:rPr>
      </w:pPr>
      <w:r>
        <w:rPr>
          <w:rFonts w:hint="eastAsia" w:ascii="宋体" w:hAnsi="宋体" w:cs="宋体"/>
          <w:sz w:val="24"/>
          <w:highlight w:val="none"/>
          <w:lang w:val="en-US" w:eastAsia="zh-CN"/>
        </w:rPr>
        <w:t>5.3技术履约验收内容:根据技术参数（服务要求）条款验收；</w:t>
      </w:r>
    </w:p>
    <w:p w14:paraId="6A3B3B5E">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highlight w:val="none"/>
          <w:lang w:val="en-US" w:eastAsia="zh-CN"/>
        </w:rPr>
      </w:pPr>
      <w:r>
        <w:rPr>
          <w:rFonts w:hint="eastAsia" w:ascii="宋体" w:hAnsi="宋体" w:cs="宋体"/>
          <w:sz w:val="24"/>
          <w:highlight w:val="none"/>
          <w:lang w:val="en-US" w:eastAsia="zh-CN"/>
        </w:rPr>
        <w:t>5.4商务履约验收内容:根据商务条款验收；</w:t>
      </w:r>
    </w:p>
    <w:p w14:paraId="3CEFC38F">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bCs/>
          <w:sz w:val="24"/>
          <w:szCs w:val="24"/>
        </w:rPr>
      </w:pPr>
      <w:r>
        <w:rPr>
          <w:rFonts w:hint="eastAsia" w:ascii="宋体" w:hAnsi="宋体" w:cs="宋体"/>
          <w:sz w:val="24"/>
          <w:highlight w:val="none"/>
          <w:lang w:val="en-US" w:eastAsia="zh-CN"/>
        </w:rPr>
        <w:t>5.5履约收标准:按照法律法规和质量标准验收。</w:t>
      </w:r>
    </w:p>
    <w:p w14:paraId="02108302">
      <w:pPr>
        <w:pStyle w:val="2"/>
        <w:spacing w:after="0" w:line="360" w:lineRule="auto"/>
        <w:ind w:firstLine="723" w:firstLineChars="300"/>
        <w:rPr>
          <w:rFonts w:hint="eastAsia" w:ascii="宋体" w:hAnsi="宋体" w:cs="宋体"/>
          <w:kern w:val="2"/>
          <w:sz w:val="24"/>
          <w:szCs w:val="24"/>
        </w:rPr>
      </w:pPr>
      <w:r>
        <w:rPr>
          <w:rFonts w:hint="eastAsia" w:ascii="宋体" w:hAnsi="宋体" w:cs="宋体"/>
          <w:b/>
          <w:bCs/>
          <w:sz w:val="24"/>
          <w:szCs w:val="24"/>
        </w:rPr>
        <w:t>注：本章标注“★”要求为本项目实质性要求，不满足作无效投标处理。</w:t>
      </w:r>
    </w:p>
    <w:p w14:paraId="4B26F91A">
      <w:pPr>
        <w:ind w:firstLine="440" w:firstLineChars="200"/>
      </w:pP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511FD"/>
    <w:rsid w:val="077F66F5"/>
    <w:rsid w:val="108B406B"/>
    <w:rsid w:val="1ACE595C"/>
    <w:rsid w:val="388A64C7"/>
    <w:rsid w:val="6E906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uiPriority w:val="0"/>
    <w:pPr>
      <w:spacing w:after="120"/>
    </w:pPr>
    <w:rPr>
      <w:rFonts w:ascii="Times New Roman" w:hAnsi="Times New Roman" w:eastAsia="宋体" w:cs="Times New Roman"/>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null3"/>
    <w:hidden/>
    <w:qFormat/>
    <w:uiPriority w:val="0"/>
    <w:rPr>
      <w:rFonts w:hint="eastAsia" w:asciiTheme="minorHAnsi" w:hAnsiTheme="minorHAnsi" w:eastAsiaTheme="minorEastAsia" w:cstheme="minorBidi"/>
      <w:lang w:val="en-US" w:eastAsia="zh-Hans"/>
    </w:rPr>
  </w:style>
  <w:style w:type="paragraph" w:customStyle="1" w:styleId="8">
    <w:name w:val="正文首行缩进两字符"/>
    <w:basedOn w:val="1"/>
    <w:qFormat/>
    <w:uiPriority w:val="0"/>
    <w:pPr>
      <w:spacing w:line="360" w:lineRule="auto"/>
      <w:ind w:firstLine="20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5394</Words>
  <Characters>5785</Characters>
  <Lines>0</Lines>
  <Paragraphs>0</Paragraphs>
  <TotalTime>0</TotalTime>
  <ScaleCrop>false</ScaleCrop>
  <LinksUpToDate>false</LinksUpToDate>
  <CharactersWithSpaces>5797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超超杨</cp:lastModifiedBy>
  <dcterms:modified xsi:type="dcterms:W3CDTF">2025-02-20T01:06:59Z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eyJoZGlkIjoiYzI4N2ZiMDIxNTgzYTE0ZGY4Y2VmOTFiZDBiZGUxMjUiLCJ1c2VySWQiOiIyOTgyNDc5NTEifQ==</vt:lpwstr>
  </property>
  <property fmtid="{D5CDD505-2E9C-101B-9397-08002B2CF9AE}" pid="4" name="ICV">
    <vt:lpwstr>C5B7C8CBB9774CFEB3B6A5951A74B4A9_12</vt:lpwstr>
  </property>
</Properties>
</file>