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AAECB">
      <w:pPr>
        <w:pStyle w:val="11"/>
        <w:jc w:val="center"/>
        <w:outlineLvl w:val="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Toc17849"/>
      <w:bookmarkStart w:id="1" w:name="_Toc393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第三章 技术、服务及其他要求</w:t>
      </w:r>
      <w:bookmarkEnd w:id="0"/>
      <w:bookmarkEnd w:id="1"/>
    </w:p>
    <w:p w14:paraId="1395E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2" w:firstLineChars="20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eastAsia="zh-CN"/>
        </w:rPr>
      </w:pPr>
      <w:bookmarkStart w:id="2" w:name="_Toc217446094"/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一、项目概况：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为健康管理科采购彩色体检报告打印服务，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  <w:t>采购三年，合同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1年1签，费用每年19万元，3年共计57万元。</w:t>
      </w:r>
    </w:p>
    <w:p w14:paraId="50077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★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</w:t>
      </w:r>
      <w:bookmarkEnd w:id="2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技术要求</w:t>
      </w:r>
    </w:p>
    <w:p w14:paraId="0588844C">
      <w:pPr>
        <w:pStyle w:val="2"/>
        <w:numPr>
          <w:ilvl w:val="0"/>
          <w:numId w:val="1"/>
        </w:numPr>
        <w:spacing w:beforeLines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提供全新“高速彩色体检报告打印系统一套（含高速彩色体检报告打印机）”；</w:t>
      </w:r>
    </w:p>
    <w:p w14:paraId="5B4B172D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免费提供设备使用所需耗材（不包含纸张）、维修材料、易损件等材料、零配件与维修保养服务；</w:t>
      </w:r>
    </w:p>
    <w:p w14:paraId="090F2A54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所提供的所有耗材、易耗品与维修材料必须是原厂正品；</w:t>
      </w:r>
    </w:p>
    <w:p w14:paraId="1DF552C4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提供工作效率保障：单机A4横向连续打印速度120面/分钟以上、双面：60张/分钟以上；</w:t>
      </w:r>
    </w:p>
    <w:p w14:paraId="62A3834E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提供全自动流程管理:自动装订（边订、角订）、自动双面、自动成套；</w:t>
      </w:r>
    </w:p>
    <w:p w14:paraId="57898F91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提供能够满足A3、A4纸打印；</w:t>
      </w:r>
    </w:p>
    <w:p w14:paraId="49372DF8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软件对接服务：与体检软件无缝对接；并且兼容体检软件未来升级；</w:t>
      </w:r>
    </w:p>
    <w:p w14:paraId="5E2C2067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环境保障：无异味、无粉尘、无有害气体生产；</w:t>
      </w:r>
    </w:p>
    <w:p w14:paraId="6E461951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培训服务：包括应用和技术指导、人员使用、管理及简单故障处理培训；</w:t>
      </w:r>
    </w:p>
    <w:p w14:paraId="0520AA8B">
      <w:pPr>
        <w:pStyle w:val="3"/>
        <w:numPr>
          <w:ilvl w:val="0"/>
          <w:numId w:val="1"/>
        </w:numPr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高速彩色体检报告打印系统：</w:t>
      </w:r>
    </w:p>
    <w:p w14:paraId="36E4B7CA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能够满足按部门、小组进行新增及设置；能够最大支持300个用户；支持分组、分级。</w:t>
      </w:r>
    </w:p>
    <w:p w14:paraId="11485AB4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能够支持分级权限设置，根据各部门及各工作人员的分工不同进行使用权限管理；配额管理。</w:t>
      </w:r>
    </w:p>
    <w:p w14:paraId="76934657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能够监控和采集（耗材、纸张、用量等）故障及错误操作，自动记录设备工作过程、状态和结果。</w:t>
      </w:r>
    </w:p>
    <w:p w14:paraId="72A56A1F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能够存储与调用常用作业、格式。</w:t>
      </w:r>
    </w:p>
    <w:p w14:paraId="7E5DACCD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能够自动添加水印、页码、日期。</w:t>
      </w:r>
    </w:p>
    <w:p w14:paraId="5EDF4A94">
      <w:pPr>
        <w:pStyle w:val="3"/>
        <w:numPr>
          <w:ilvl w:val="0"/>
          <w:numId w:val="2"/>
        </w:numPr>
        <w:tabs>
          <w:tab w:val="clear" w:pos="312"/>
        </w:tabs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能够进行IP地址限制；密码认证；可扩展至刷卡认证。</w:t>
      </w:r>
    </w:p>
    <w:p w14:paraId="10B28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★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、商务要求：</w:t>
      </w:r>
    </w:p>
    <w:p w14:paraId="26EB3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项目交付（实施）地点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内江市第一人民医院。</w:t>
      </w:r>
    </w:p>
    <w:p w14:paraId="21CA9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项目交付（实施）时间：合同签订后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10个工作日内，完成系统交付及安装，并保证其正常运行。</w:t>
      </w:r>
    </w:p>
    <w:p w14:paraId="738FE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服务期限：三年，合同一年一签，经考核合格后续签下一年合同。</w:t>
      </w:r>
      <w:r>
        <w:rPr>
          <w:rFonts w:hint="eastAsia" w:ascii="宋体" w:hAnsi="宋体" w:cs="宋体"/>
          <w:sz w:val="24"/>
          <w:highlight w:val="none"/>
          <w:lang w:eastAsia="zh-CN"/>
        </w:rPr>
        <w:t>第一年服务期为履约验收合格日期开始计算服务期，第二、三年服务期为合同签订日期计算服务期。</w:t>
      </w:r>
    </w:p>
    <w:p w14:paraId="619E178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（四）付款方式：合同签订后，20个工作日内支付合同金额的50%；合同履约服务到期后20个工作日内支付50%。</w:t>
      </w:r>
    </w:p>
    <w:p w14:paraId="521EDC0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8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pacing w:val="2"/>
          <w:kern w:val="2"/>
          <w:sz w:val="24"/>
          <w:szCs w:val="24"/>
          <w:highlight w:val="none"/>
          <w:lang w:val="en-US" w:eastAsia="zh-CN" w:bidi="ar-SA"/>
        </w:rPr>
        <w:t>（五）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报价要求：供应商报价应包含供应商为完成本项目所需的一切费用，包含但不限于人工工资、材料（不含纸张）、保险、代理费用等，采购人不在额外支付任何费用。</w:t>
      </w:r>
    </w:p>
    <w:p w14:paraId="71DAD22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8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pacing w:val="2"/>
          <w:kern w:val="2"/>
          <w:sz w:val="24"/>
          <w:szCs w:val="24"/>
          <w:highlight w:val="none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针对本项目提供维保服务方案、日常巡检服务方案、应急预案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4FF4F60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8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pacing w:val="2"/>
          <w:kern w:val="2"/>
          <w:sz w:val="24"/>
          <w:szCs w:val="24"/>
          <w:highlight w:val="none"/>
          <w:lang w:val="en-US" w:eastAsia="zh-CN" w:bidi="ar-SA"/>
        </w:rPr>
        <w:t>（七）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能够提供高速彩色体检报告打印系统进行现场维护，保障设备运行；负责设备连接、迁移、软件系统对接；负责对设备驱动故障进行维护。</w:t>
      </w:r>
    </w:p>
    <w:p w14:paraId="3D07A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（八）日常巡检服务方案：能够定期对设备进行巡检、维护保养；至少两个月一次；并定期对设备进行易损件更换，提供日常巡检服务方案报告。</w:t>
      </w:r>
    </w:p>
    <w:p w14:paraId="18BAB8B7">
      <w:pPr>
        <w:pStyle w:val="2"/>
        <w:spacing w:beforeLines="0" w:line="460" w:lineRule="atLeast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（九）维保服务方案：能够提供5*8小时维修保养服务，设备出现故障时，10分钟内及时响应，远程指导解决问题，若远程指导不能解决问题，6小时内达到现场处理；若48小时内不能解决的问题，实行应急预案。</w:t>
      </w:r>
    </w:p>
    <w:p w14:paraId="5660D8BB">
      <w:pPr>
        <w:pStyle w:val="3"/>
        <w:spacing w:beforeLines="0" w:after="0" w:line="460" w:lineRule="atLeast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（十）应急预案：设备替换方案，通过提供备用机器或替代打印服务，以保障采购人的日常工作开展。</w:t>
      </w:r>
    </w:p>
    <w:p w14:paraId="7811F6AF">
      <w:pPr>
        <w:pStyle w:val="4"/>
        <w:spacing w:beforeLines="0" w:line="460" w:lineRule="atLeast"/>
        <w:ind w:firstLine="488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（十一）能够在维修维护过程中，投标人应确保与系统连接的相关计算机及计算机网络、其他外围设备、运行在相关计算机上的操作系统、应用系统等不受影响。</w:t>
      </w:r>
    </w:p>
    <w:p w14:paraId="7023A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（十二）在服务期内，应遵守医院规章制度，接收采购人的监督，遵守采购人对于供应商的考勤管理与其他相关管理制度。对于采购人监管过程中提出的问题，应尽快按照采购人要求进行整改。</w:t>
      </w:r>
    </w:p>
    <w:p w14:paraId="43236FEB">
      <w:pPr>
        <w:widowControl w:val="0"/>
        <w:spacing w:before="0" w:beforeLines="0" w:after="0" w:line="460" w:lineRule="atLeas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（十三）考核要求：</w:t>
      </w:r>
    </w:p>
    <w:p w14:paraId="23D927B4">
      <w:pPr>
        <w:widowControl w:val="0"/>
        <w:spacing w:before="0" w:beforeLines="0" w:after="0" w:line="460" w:lineRule="atLeast"/>
        <w:ind w:firstLine="480" w:firstLineChars="200"/>
        <w:jc w:val="both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highlight w:val="none"/>
          <w:lang w:eastAsia="zh-CN"/>
        </w:rPr>
        <w:t>1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此考核为月度考核，由采购人进行考核打分。</w:t>
      </w:r>
    </w:p>
    <w:p w14:paraId="2F8C5B48">
      <w:pPr>
        <w:widowControl w:val="0"/>
        <w:spacing w:before="0" w:beforeLines="0" w:after="0" w:line="460" w:lineRule="atLeast"/>
        <w:ind w:firstLine="480" w:firstLineChars="200"/>
        <w:jc w:val="both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highlight w:val="none"/>
          <w:lang w:eastAsia="zh-CN"/>
        </w:rPr>
        <w:t>2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供应商综合得分达90分及以上为合格。供应商的综合得分在80分-90分之间，采购人每次扣减服务费用2000元。供应商的综合得分在80分以下，采购人每次扣减服务费用5000元。</w:t>
      </w:r>
    </w:p>
    <w:p w14:paraId="6F13EF3D">
      <w:pPr>
        <w:widowControl w:val="0"/>
        <w:spacing w:before="0" w:beforeLines="0" w:after="0" w:line="460" w:lineRule="atLeast"/>
        <w:ind w:firstLine="480" w:firstLineChars="200"/>
        <w:jc w:val="both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一年月度考核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次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以上合格才能认为年度考核合格，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供应商的年度考核为合格时，采购人按约定支付合同约定的余下服务费，续签下一年度服务合同。若连续三次核分数在80分以下，采购人有权解除合同。采购人仅按实际服务月数支付相应的服务费。</w:t>
      </w:r>
    </w:p>
    <w:p w14:paraId="72074A30">
      <w:pPr>
        <w:pStyle w:val="11"/>
        <w:spacing w:before="0" w:beforeLines="0" w:after="0" w:line="460" w:lineRule="atLeast"/>
        <w:ind w:firstLine="480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ascii="宋体" w:hAnsi="宋体" w:eastAsia="宋体" w:cs="宋体"/>
          <w:sz w:val="24"/>
          <w:szCs w:val="24"/>
          <w:highlight w:val="none"/>
        </w:rPr>
        <w:t>《体检报告制作服务项目》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月</w:t>
      </w:r>
      <w:r>
        <w:rPr>
          <w:rFonts w:ascii="宋体" w:hAnsi="宋体" w:eastAsia="宋体" w:cs="宋体"/>
          <w:sz w:val="24"/>
          <w:szCs w:val="24"/>
          <w:highlight w:val="none"/>
        </w:rPr>
        <w:t>度考核表</w:t>
      </w:r>
    </w:p>
    <w:p w14:paraId="39D8CB03">
      <w:pPr>
        <w:pStyle w:val="11"/>
        <w:spacing w:before="0" w:beforeLines="0" w:after="0" w:line="460" w:lineRule="atLeast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供应商名称：</w:t>
      </w:r>
      <w:r>
        <w:rPr>
          <w:rFonts w:ascii="宋体" w:hAnsi="宋体" w:eastAsia="宋体" w:cs="宋体"/>
          <w:sz w:val="24"/>
          <w:szCs w:val="24"/>
          <w:highlight w:val="none"/>
          <w:lang w:eastAsia="zh-CN"/>
        </w:rPr>
        <w:t xml:space="preserve">                  </w:t>
      </w:r>
      <w:r>
        <w:rPr>
          <w:rFonts w:ascii="宋体" w:hAnsi="宋体" w:eastAsia="宋体" w:cs="宋体"/>
          <w:sz w:val="24"/>
          <w:szCs w:val="24"/>
          <w:highlight w:val="none"/>
        </w:rPr>
        <w:t>考核负责人：</w:t>
      </w:r>
      <w:r>
        <w:rPr>
          <w:rFonts w:ascii="宋体" w:hAnsi="宋体" w:eastAsia="宋体" w:cs="宋体"/>
          <w:sz w:val="24"/>
          <w:szCs w:val="24"/>
          <w:highlight w:val="none"/>
          <w:lang w:eastAsia="zh-CN"/>
        </w:rPr>
        <w:t xml:space="preserve">             </w:t>
      </w:r>
      <w:r>
        <w:rPr>
          <w:rFonts w:ascii="宋体" w:hAnsi="宋体" w:eastAsia="宋体" w:cs="宋体"/>
          <w:sz w:val="24"/>
          <w:szCs w:val="24"/>
          <w:highlight w:val="none"/>
        </w:rPr>
        <w:t>填表时间：</w:t>
      </w:r>
      <w:r>
        <w:rPr>
          <w:rFonts w:ascii="宋体" w:hAnsi="宋体" w:eastAsia="宋体" w:cs="宋体"/>
          <w:sz w:val="24"/>
          <w:szCs w:val="24"/>
          <w:highlight w:val="none"/>
          <w:lang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  <w:highlight w:val="none"/>
        </w:rPr>
        <w:t>年</w:t>
      </w:r>
      <w:r>
        <w:rPr>
          <w:rFonts w:ascii="宋体" w:hAnsi="宋体" w:eastAsia="宋体" w:cs="宋体"/>
          <w:sz w:val="24"/>
          <w:szCs w:val="24"/>
          <w:highlight w:val="none"/>
          <w:lang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sz w:val="24"/>
          <w:szCs w:val="24"/>
          <w:highlight w:val="none"/>
          <w:lang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日</w:t>
      </w:r>
    </w:p>
    <w:tbl>
      <w:tblPr>
        <w:tblStyle w:val="8"/>
        <w:tblW w:w="0" w:type="auto"/>
        <w:tblInd w:w="24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1560"/>
        <w:gridCol w:w="709"/>
        <w:gridCol w:w="4819"/>
        <w:gridCol w:w="1291"/>
        <w:gridCol w:w="992"/>
      </w:tblGrid>
      <w:tr w14:paraId="12B9657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96EAC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77B28">
            <w:pPr>
              <w:pStyle w:val="11"/>
              <w:spacing w:before="0" w:beforeLines="0" w:after="0" w:line="460" w:lineRule="atLeast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考评项目</w:t>
            </w:r>
          </w:p>
        </w:tc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00929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48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1CE28">
            <w:pPr>
              <w:pStyle w:val="11"/>
              <w:spacing w:before="0" w:beforeLines="0" w:after="0" w:line="460" w:lineRule="atLeast"/>
              <w:ind w:firstLine="38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评分细则</w:t>
            </w:r>
          </w:p>
        </w:tc>
        <w:tc>
          <w:tcPr>
            <w:tcW w:w="12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99021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考评得分</w:t>
            </w:r>
          </w:p>
        </w:tc>
        <w:tc>
          <w:tcPr>
            <w:tcW w:w="9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2DBEC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备注</w:t>
            </w:r>
          </w:p>
        </w:tc>
      </w:tr>
      <w:tr w14:paraId="0642CEE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47748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6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8303C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服务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人员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要求</w:t>
            </w:r>
          </w:p>
          <w:p w14:paraId="353FC09D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30%</w:t>
            </w: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BDEC3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5BC24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技术人员需穿戴工服且衣着整洁，服务态度端正，具有较强的工作责任心，个人清洁卫生干净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佩戴工作牌，技术人员操作熟练或技术水平良好，应遵守医院规章制度，接收采购人的监督。每有一样不符合要求一次扣2分。本项值扣完为止。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957B2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52757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8AF817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CCA36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60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11E6C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耗材供应</w:t>
            </w:r>
          </w:p>
          <w:p w14:paraId="579B3D81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40%</w:t>
            </w: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F594E4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9B500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所提供的耗材、易耗品与维修材料必须是原厂正品；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  <w:highlight w:val="none"/>
              </w:rPr>
              <w:t>因所提供的耗材质量问题导致设备出现故障的，致使采购人无法正常工作，每有一次扣5分，本项分值扣完为止。</w:t>
            </w:r>
          </w:p>
        </w:tc>
        <w:tc>
          <w:tcPr>
            <w:tcW w:w="12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CB175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BB9FC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49AF755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CAEF8">
            <w:pPr>
              <w:spacing w:beforeLines="0" w:line="460" w:lineRule="atLeast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989D">
            <w:pPr>
              <w:spacing w:beforeLines="0" w:line="460" w:lineRule="atLeast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2268D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953E3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供应商提供耗材备用服务，以确保采购人不会因耗材供应不及时，导致采购人无法正常工作。若发生一次采购人因无耗材使用而导致无法正常工作，每发生一次扣除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2分，本项目分值扣完为止。</w:t>
            </w:r>
          </w:p>
        </w:tc>
        <w:tc>
          <w:tcPr>
            <w:tcW w:w="12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6B9B1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B5964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33CAE3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1610F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56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49404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服务响应要求</w:t>
            </w:r>
          </w:p>
          <w:p w14:paraId="51388256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20%</w:t>
            </w: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C756E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1FE84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提供5*8小时维修保养服务，设备出现故障时，10分钟内及时响应，远程指导解决问题，若远程指导不能解决问题，6小时内达到现场处理；若有一项没有达到，每次并扣除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2分，本项目分值扣完为止。</w:t>
            </w:r>
          </w:p>
        </w:tc>
        <w:tc>
          <w:tcPr>
            <w:tcW w:w="12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1ABF0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FC21E1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EC1247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C9DD1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56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D9EBE5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巡检服务</w:t>
            </w:r>
          </w:p>
          <w:p w14:paraId="14EE7FAB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4E2269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6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2C5D5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供应商应定期对设备进行巡检、维护保养；至少两个月一次；并定期对设备进行易损件更换，提供日常巡检服务报告。若未定期进行巡检，每次扣除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1分，本项目分值扣完为止。</w:t>
            </w:r>
          </w:p>
        </w:tc>
        <w:tc>
          <w:tcPr>
            <w:tcW w:w="12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28E008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F6CB80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1487E7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F9760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56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20FFA7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应急处置</w:t>
            </w:r>
          </w:p>
          <w:p w14:paraId="44943D32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AC5A4">
            <w:pPr>
              <w:pStyle w:val="11"/>
              <w:spacing w:before="0" w:beforeLines="0" w:after="0" w:line="4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  <w:t>4</w:t>
            </w:r>
          </w:p>
        </w:tc>
        <w:tc>
          <w:tcPr>
            <w:tcW w:w="4819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63FBAB">
            <w:pPr>
              <w:pStyle w:val="11"/>
              <w:spacing w:before="0" w:beforeLines="0" w:after="0" w:line="460" w:lineRule="atLeast"/>
              <w:ind w:firstLine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设备出现故障时，48小时内不能解决的问题，实行应急预案。通过提供备用机器或替代打印服务，以保障采购人的日常工作开展。根据实际情况酌情打分。</w:t>
            </w:r>
          </w:p>
        </w:tc>
        <w:tc>
          <w:tcPr>
            <w:tcW w:w="12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231B6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C8D7F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CB17CA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9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5114B31">
            <w:pPr>
              <w:pStyle w:val="11"/>
              <w:spacing w:before="0" w:beforeLines="0" w:after="0" w:line="460" w:lineRule="atLeast"/>
              <w:ind w:firstLine="38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综合得分合计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9C1239E">
            <w:pPr>
              <w:pStyle w:val="11"/>
              <w:spacing w:before="0" w:beforeLines="0" w:after="0" w:line="460" w:lineRule="atLeast"/>
              <w:ind w:firstLine="38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 w14:paraId="4CB7D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四、违约责任与解决争议的方法：双方应协商解决，协商不成，提交采购人住所地人民法院管辖。</w:t>
      </w:r>
    </w:p>
    <w:p w14:paraId="57B18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五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、履约验收：</w:t>
      </w:r>
    </w:p>
    <w:p w14:paraId="1B031E0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（1）履约验收程序：由使用科室验收。</w:t>
      </w:r>
    </w:p>
    <w:p w14:paraId="02983C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（2）履约验收时间：合同签订后20个工作日。</w:t>
      </w:r>
      <w:bookmarkStart w:id="3" w:name="_GoBack"/>
      <w:bookmarkEnd w:id="3"/>
    </w:p>
    <w:p w14:paraId="13473FD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（3）验收组织的其他事项：无。</w:t>
      </w:r>
    </w:p>
    <w:p w14:paraId="49EC6CB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（4）是否邀请第三方检测机构：否。</w:t>
      </w:r>
    </w:p>
    <w:p w14:paraId="712DD76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（5）技术履约验收内容：根据技术参数条款验收。</w:t>
      </w:r>
    </w:p>
    <w:p w14:paraId="5B4BAC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（6）商务履约验收内容：根据商务条款验收。</w:t>
      </w:r>
    </w:p>
    <w:p w14:paraId="17E60E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60" w:lineRule="atLeast"/>
        <w:ind w:left="0" w:leftChars="0" w:firstLine="480" w:firstLineChars="200"/>
        <w:textAlignment w:val="auto"/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（7）履约验收标准：按照法律法规、质量标准和合同内容进行验收。</w:t>
      </w:r>
    </w:p>
    <w:sectPr>
      <w:footerReference r:id="rId3" w:type="default"/>
      <w:pgSz w:w="11906" w:h="16838"/>
      <w:pgMar w:top="1134" w:right="1134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87C1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9DBBEF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9DBBEF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96746D"/>
    <w:multiLevelType w:val="singleLevel"/>
    <w:tmpl w:val="EC96746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ACF214C"/>
    <w:multiLevelType w:val="singleLevel"/>
    <w:tmpl w:val="FACF214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E28D5"/>
    <w:rsid w:val="07E8502A"/>
    <w:rsid w:val="3B7E28D5"/>
    <w:rsid w:val="463C233D"/>
    <w:rsid w:val="4BCA386C"/>
    <w:rsid w:val="6340696D"/>
    <w:rsid w:val="69B1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3">
    <w:name w:val="Body Text First Indent"/>
    <w:basedOn w:val="2"/>
    <w:next w:val="4"/>
    <w:qFormat/>
    <w:uiPriority w:val="99"/>
    <w:pPr>
      <w:tabs>
        <w:tab w:val="left" w:pos="780"/>
      </w:tabs>
      <w:spacing w:after="120"/>
      <w:ind w:firstLine="420" w:firstLineChars="100"/>
    </w:pPr>
  </w:style>
  <w:style w:type="paragraph" w:customStyle="1" w:styleId="4">
    <w:name w:val="段落正文"/>
    <w:basedOn w:val="1"/>
    <w:autoRedefine/>
    <w:qFormat/>
    <w:uiPriority w:val="0"/>
    <w:pPr>
      <w:spacing w:beforeLines="50" w:line="360" w:lineRule="auto"/>
    </w:pPr>
    <w:rPr>
      <w:spacing w:val="2"/>
      <w:szCs w:val="20"/>
    </w:rPr>
  </w:style>
  <w:style w:type="paragraph" w:styleId="5">
    <w:name w:val="annotation text"/>
    <w:basedOn w:val="1"/>
    <w:qFormat/>
    <w:uiPriority w:val="0"/>
    <w:pPr>
      <w:jc w:val="left"/>
    </w:pPr>
    <w:rPr>
      <w:sz w:val="18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2">
    <w:name w:val="font91"/>
    <w:basedOn w:val="10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3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hint="default" w:ascii="方正仿宋_GB18030" w:hAnsi="方正仿宋_GB18030" w:eastAsia="方正仿宋_GB18030" w:cs="方正仿宋_GB18030"/>
      <w:color w:val="000000"/>
      <w:sz w:val="22"/>
      <w:szCs w:val="22"/>
      <w:u w:val="none"/>
    </w:rPr>
  </w:style>
  <w:style w:type="character" w:customStyle="1" w:styleId="15">
    <w:name w:val="font12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2525</Words>
  <Characters>3180</Characters>
  <Lines>0</Lines>
  <Paragraphs>0</Paragraphs>
  <TotalTime>0</TotalTime>
  <ScaleCrop>false</ScaleCrop>
  <LinksUpToDate>false</LinksUpToDate>
  <CharactersWithSpaces>3183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2025-01-17T08:24:00Z</dcterms:created>
  <dc:creator>LC</dc:creator>
  <cp:lastModifiedBy>a</cp:lastModifiedBy>
  <dcterms:modified xsi:type="dcterms:W3CDTF">2025-02-20T01:28:38Z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671BAA918CFB4404BC13316451B10404_11</vt:lpwstr>
  </property>
  <property fmtid="{D5CDD505-2E9C-101B-9397-08002B2CF9AE}" pid="4" name="KSOTemplateDocerSaveRecord">
    <vt:lpwstr>eyJoZGlkIjoiNzc3YzBmYjZkM2Y1NTZhMDcyNzY0MzY2N2Q5M2M4OTEiLCJ1c2VySWQiOiIyNTk3MzYwMTgifQ==</vt:lpwstr>
  </property>
</Properties>
</file>