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A1B" w:rsidRDefault="00694A1B" w:rsidP="00694A1B">
      <w:pPr>
        <w:pStyle w:val="null3"/>
        <w:jc w:val="center"/>
        <w:outlineLvl w:val="1"/>
        <w:rPr>
          <w:rFonts w:ascii="仿宋" w:eastAsia="仿宋" w:hAnsi="仿宋" w:cs="仿宋" w:hint="default"/>
        </w:rPr>
      </w:pPr>
      <w:bookmarkStart w:id="0" w:name="_Toc17333"/>
      <w:r>
        <w:rPr>
          <w:rFonts w:ascii="仿宋" w:eastAsia="仿宋" w:hAnsi="仿宋" w:cs="仿宋"/>
          <w:b/>
          <w:sz w:val="36"/>
        </w:rPr>
        <w:t>第三章 技术、服务及其他要求</w:t>
      </w:r>
      <w:bookmarkEnd w:id="0"/>
    </w:p>
    <w:p w:rsidR="00694A1B" w:rsidRDefault="00694A1B" w:rsidP="00694A1B">
      <w:pPr>
        <w:pStyle w:val="null3"/>
        <w:ind w:firstLine="480"/>
        <w:rPr>
          <w:rFonts w:ascii="仿宋" w:eastAsia="仿宋" w:hAnsi="仿宋" w:cs="仿宋" w:hint="default"/>
        </w:rPr>
      </w:pPr>
      <w:r>
        <w:rPr>
          <w:rFonts w:ascii="仿宋" w:eastAsia="仿宋" w:hAnsi="仿宋" w:cs="仿宋"/>
        </w:rPr>
        <w:t>（注：本章的技术、服务及其他要求中，带“★”的要求为实质性要求。采购人、代理机构应当根据项目实际要求合理设定，并在第五</w:t>
      </w:r>
      <w:proofErr w:type="gramStart"/>
      <w:r>
        <w:rPr>
          <w:rFonts w:ascii="仿宋" w:eastAsia="仿宋" w:hAnsi="仿宋" w:cs="仿宋"/>
        </w:rPr>
        <w:t>章符合</w:t>
      </w:r>
      <w:proofErr w:type="gramEnd"/>
      <w:r>
        <w:rPr>
          <w:rFonts w:ascii="仿宋" w:eastAsia="仿宋" w:hAnsi="仿宋" w:cs="仿宋"/>
        </w:rPr>
        <w:t>性审查中明确响应要求。）</w:t>
      </w:r>
    </w:p>
    <w:p w:rsidR="00694A1B" w:rsidRDefault="00694A1B" w:rsidP="00694A1B">
      <w:pPr>
        <w:pStyle w:val="null3"/>
        <w:outlineLvl w:val="2"/>
        <w:rPr>
          <w:rFonts w:ascii="仿宋" w:eastAsia="仿宋" w:hAnsi="仿宋" w:cs="仿宋" w:hint="default"/>
        </w:rPr>
      </w:pPr>
      <w:bookmarkStart w:id="1" w:name="_Toc23443"/>
      <w:r>
        <w:rPr>
          <w:rFonts w:ascii="仿宋" w:eastAsia="仿宋" w:hAnsi="仿宋" w:cs="仿宋"/>
          <w:b/>
          <w:sz w:val="28"/>
        </w:rPr>
        <w:t>3.1.标的情况</w:t>
      </w:r>
      <w:bookmarkEnd w:id="1"/>
    </w:p>
    <w:p w:rsidR="00694A1B" w:rsidRDefault="00694A1B" w:rsidP="00694A1B">
      <w:pPr>
        <w:pStyle w:val="null3"/>
        <w:rPr>
          <w:rFonts w:ascii="仿宋" w:eastAsia="仿宋" w:hAnsi="仿宋" w:cs="仿宋" w:hint="default"/>
          <w:b/>
          <w:bCs/>
        </w:rPr>
      </w:pPr>
      <w:r>
        <w:rPr>
          <w:rFonts w:ascii="仿宋" w:eastAsia="仿宋" w:hAnsi="仿宋" w:cs="仿宋"/>
          <w:b/>
          <w:bCs/>
          <w:sz w:val="24"/>
          <w:szCs w:val="24"/>
        </w:rPr>
        <w:t>采购包1：</w:t>
      </w:r>
    </w:p>
    <w:tbl>
      <w:tblPr>
        <w:tblpPr w:leftFromText="180" w:rightFromText="180" w:vertAnchor="text" w:horzAnchor="page" w:tblpX="1826" w:tblpY="558"/>
        <w:tblOverlap w:val="never"/>
        <w:tblW w:w="8200" w:type="dxa"/>
        <w:tblLayout w:type="fixed"/>
        <w:tblCellMar>
          <w:left w:w="0" w:type="dxa"/>
          <w:right w:w="0" w:type="dxa"/>
        </w:tblCellMar>
        <w:tblLook w:val="04A0" w:firstRow="1" w:lastRow="0" w:firstColumn="1" w:lastColumn="0" w:noHBand="0" w:noVBand="1"/>
      </w:tblPr>
      <w:tblGrid>
        <w:gridCol w:w="607"/>
        <w:gridCol w:w="789"/>
        <w:gridCol w:w="1418"/>
        <w:gridCol w:w="1275"/>
        <w:gridCol w:w="709"/>
        <w:gridCol w:w="1134"/>
        <w:gridCol w:w="2268"/>
      </w:tblGrid>
      <w:tr w:rsidR="00694A1B" w:rsidTr="00694A1B">
        <w:trPr>
          <w:trHeight w:val="1922"/>
        </w:trPr>
        <w:tc>
          <w:tcPr>
            <w:tcW w:w="607"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proofErr w:type="gramStart"/>
            <w:r>
              <w:rPr>
                <w:rFonts w:eastAsia="仿宋"/>
                <w:b/>
                <w:bCs/>
                <w:sz w:val="18"/>
                <w:szCs w:val="18"/>
              </w:rPr>
              <w:t>包号</w:t>
            </w:r>
            <w:proofErr w:type="gramEnd"/>
          </w:p>
        </w:tc>
        <w:tc>
          <w:tcPr>
            <w:tcW w:w="789"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b/>
                <w:bCs/>
                <w:sz w:val="18"/>
                <w:szCs w:val="18"/>
              </w:rPr>
              <w:t>编号</w:t>
            </w:r>
          </w:p>
        </w:tc>
        <w:tc>
          <w:tcPr>
            <w:tcW w:w="1418"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b/>
                <w:bCs/>
                <w:sz w:val="18"/>
                <w:szCs w:val="18"/>
              </w:rPr>
              <w:t>标的名称</w:t>
            </w:r>
          </w:p>
        </w:tc>
        <w:tc>
          <w:tcPr>
            <w:tcW w:w="1275"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hint="eastAsia"/>
                <w:b/>
                <w:bCs/>
                <w:sz w:val="18"/>
                <w:szCs w:val="18"/>
              </w:rPr>
              <w:t>单价最高限价（</w:t>
            </w:r>
            <w:r>
              <w:rPr>
                <w:rFonts w:eastAsia="仿宋"/>
                <w:b/>
                <w:bCs/>
                <w:sz w:val="18"/>
                <w:szCs w:val="18"/>
              </w:rPr>
              <w:t>元</w:t>
            </w:r>
            <w:r>
              <w:rPr>
                <w:rFonts w:eastAsia="仿宋" w:hint="eastAsia"/>
                <w:b/>
                <w:bCs/>
                <w:sz w:val="18"/>
                <w:szCs w:val="18"/>
              </w:rPr>
              <w:t>）</w:t>
            </w:r>
          </w:p>
        </w:tc>
        <w:tc>
          <w:tcPr>
            <w:tcW w:w="709"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hint="eastAsia"/>
                <w:b/>
                <w:bCs/>
                <w:sz w:val="18"/>
                <w:szCs w:val="18"/>
              </w:rPr>
              <w:t>数量</w:t>
            </w:r>
          </w:p>
        </w:tc>
        <w:tc>
          <w:tcPr>
            <w:tcW w:w="1134"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b/>
                <w:bCs/>
                <w:sz w:val="18"/>
                <w:szCs w:val="18"/>
              </w:rPr>
              <w:t>计量单位</w:t>
            </w:r>
          </w:p>
        </w:tc>
        <w:tc>
          <w:tcPr>
            <w:tcW w:w="2268"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b/>
                <w:bCs/>
                <w:sz w:val="18"/>
                <w:szCs w:val="18"/>
              </w:rPr>
              <w:t>标的金额</w:t>
            </w:r>
            <w:r>
              <w:rPr>
                <w:rFonts w:eastAsia="仿宋" w:hint="eastAsia"/>
                <w:b/>
                <w:bCs/>
                <w:sz w:val="18"/>
                <w:szCs w:val="18"/>
              </w:rPr>
              <w:t>（</w:t>
            </w:r>
            <w:r>
              <w:rPr>
                <w:rFonts w:eastAsia="仿宋"/>
                <w:b/>
                <w:bCs/>
                <w:sz w:val="18"/>
                <w:szCs w:val="18"/>
              </w:rPr>
              <w:t>元</w:t>
            </w:r>
            <w:r>
              <w:rPr>
                <w:rFonts w:eastAsia="仿宋" w:hint="eastAsia"/>
                <w:b/>
                <w:bCs/>
                <w:sz w:val="18"/>
                <w:szCs w:val="18"/>
              </w:rPr>
              <w:t>）</w:t>
            </w:r>
          </w:p>
        </w:tc>
      </w:tr>
      <w:tr w:rsidR="00694A1B" w:rsidTr="00694A1B">
        <w:trPr>
          <w:trHeight w:val="178"/>
        </w:trPr>
        <w:tc>
          <w:tcPr>
            <w:tcW w:w="607"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b/>
                <w:bCs/>
                <w:sz w:val="18"/>
                <w:szCs w:val="18"/>
              </w:rPr>
              <w:t>1</w:t>
            </w:r>
          </w:p>
        </w:tc>
        <w:tc>
          <w:tcPr>
            <w:tcW w:w="789"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spacing w:line="400" w:lineRule="exact"/>
              <w:jc w:val="left"/>
              <w:rPr>
                <w:rFonts w:eastAsia="仿宋"/>
                <w:b/>
                <w:bCs/>
                <w:sz w:val="18"/>
                <w:szCs w:val="18"/>
              </w:rPr>
            </w:pPr>
            <w:r>
              <w:rPr>
                <w:rFonts w:eastAsia="仿宋"/>
                <w:b/>
                <w:bCs/>
                <w:sz w:val="18"/>
                <w:szCs w:val="18"/>
              </w:rPr>
              <w:t>1-1</w:t>
            </w:r>
          </w:p>
        </w:tc>
        <w:tc>
          <w:tcPr>
            <w:tcW w:w="1418"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widowControl/>
              <w:jc w:val="center"/>
              <w:textAlignment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公众责任险</w:t>
            </w:r>
          </w:p>
        </w:tc>
        <w:tc>
          <w:tcPr>
            <w:tcW w:w="1275"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widowControl/>
              <w:jc w:val="center"/>
              <w:textAlignment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90000</w:t>
            </w:r>
          </w:p>
        </w:tc>
        <w:tc>
          <w:tcPr>
            <w:tcW w:w="709"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widowControl/>
              <w:jc w:val="center"/>
              <w:textAlignment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1</w:t>
            </w:r>
          </w:p>
        </w:tc>
        <w:tc>
          <w:tcPr>
            <w:tcW w:w="1134"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widowControl/>
              <w:jc w:val="center"/>
              <w:textAlignment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项</w:t>
            </w:r>
          </w:p>
        </w:tc>
        <w:tc>
          <w:tcPr>
            <w:tcW w:w="2268"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rsidR="00694A1B" w:rsidRDefault="00694A1B" w:rsidP="00CF0B21">
            <w:pPr>
              <w:widowControl/>
              <w:jc w:val="center"/>
              <w:textAlignment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90000</w:t>
            </w:r>
          </w:p>
        </w:tc>
      </w:tr>
    </w:tbl>
    <w:p w:rsidR="00694A1B" w:rsidRDefault="00694A1B" w:rsidP="00694A1B">
      <w:pPr>
        <w:pStyle w:val="null3"/>
        <w:outlineLvl w:val="2"/>
        <w:rPr>
          <w:rFonts w:ascii="仿宋" w:eastAsia="仿宋" w:hAnsi="仿宋" w:cs="仿宋" w:hint="default"/>
        </w:rPr>
      </w:pPr>
      <w:bookmarkStart w:id="2" w:name="_Toc15862"/>
      <w:bookmarkStart w:id="3" w:name="_GoBack"/>
      <w:bookmarkEnd w:id="3"/>
      <w:r>
        <w:rPr>
          <w:rFonts w:ascii="仿宋" w:eastAsia="仿宋" w:hAnsi="仿宋" w:cs="仿宋"/>
          <w:b/>
          <w:sz w:val="28"/>
        </w:rPr>
        <w:t>3.2.技术要求</w:t>
      </w:r>
      <w:r>
        <w:rPr>
          <w:rFonts w:ascii="仿宋" w:eastAsia="仿宋" w:hAnsi="仿宋" w:cs="仿宋"/>
        </w:rPr>
        <w:t>★</w:t>
      </w:r>
      <w:bookmarkEnd w:id="2"/>
    </w:p>
    <w:p w:rsidR="00694A1B" w:rsidRDefault="00694A1B" w:rsidP="00694A1B">
      <w:pPr>
        <w:autoSpaceDE w:val="0"/>
        <w:autoSpaceDN w:val="0"/>
        <w:adjustRightInd w:val="0"/>
        <w:snapToGrid w:val="0"/>
        <w:spacing w:line="360" w:lineRule="auto"/>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须知：1.本部分标注“★”的条款为本项目的实质性条款，投标人不满足的，将按照无效投标处理；标注“▲”的为重要条款，得分占比相较一般条款更高；未标注条款为一般条款。</w:t>
      </w:r>
    </w:p>
    <w:p w:rsidR="00694A1B" w:rsidRDefault="00694A1B" w:rsidP="00694A1B">
      <w:pPr>
        <w:autoSpaceDE w:val="0"/>
        <w:autoSpaceDN w:val="0"/>
        <w:adjustRightInd w:val="0"/>
        <w:snapToGrid w:val="0"/>
        <w:spacing w:line="360" w:lineRule="auto"/>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 xml:space="preserve">2.技术要求条款均为条目式，参数设置须客观明确，参与评分的指标应当是采购需求中的量化指标，评分项应当按照量化指标的等次，设置对应的不同分值。不能完全确定客观指标，需由供应商提供设计方案、解决方案或者组织方案的采购项目。 </w:t>
      </w:r>
    </w:p>
    <w:p w:rsidR="00694A1B" w:rsidRDefault="00694A1B" w:rsidP="00694A1B">
      <w:pPr>
        <w:autoSpaceDE w:val="0"/>
        <w:autoSpaceDN w:val="0"/>
        <w:adjustRightInd w:val="0"/>
        <w:snapToGrid w:val="0"/>
        <w:spacing w:line="360" w:lineRule="auto"/>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包</w:t>
      </w:r>
      <w:proofErr w:type="gramStart"/>
      <w:r>
        <w:rPr>
          <w:rFonts w:ascii="仿宋" w:eastAsia="仿宋" w:hAnsi="仿宋" w:cs="仿宋" w:hint="eastAsia"/>
          <w:kern w:val="0"/>
          <w:sz w:val="20"/>
          <w:szCs w:val="20"/>
        </w:rPr>
        <w:t>一</w:t>
      </w:r>
      <w:proofErr w:type="gramEnd"/>
      <w:r>
        <w:rPr>
          <w:rFonts w:ascii="仿宋" w:eastAsia="仿宋" w:hAnsi="仿宋" w:cs="仿宋" w:hint="eastAsia"/>
          <w:kern w:val="0"/>
          <w:sz w:val="20"/>
          <w:szCs w:val="20"/>
        </w:rPr>
        <w:t>：</w:t>
      </w:r>
    </w:p>
    <w:p w:rsidR="00694A1B" w:rsidRDefault="00694A1B" w:rsidP="00694A1B">
      <w:pPr>
        <w:autoSpaceDE w:val="0"/>
        <w:autoSpaceDN w:val="0"/>
        <w:adjustRightInd w:val="0"/>
        <w:snapToGrid w:val="0"/>
        <w:spacing w:line="360" w:lineRule="auto"/>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1.新的公众责任险生效日期紧接原保险的时间2025年2月1日零时起，以确保我院的公众责任</w:t>
      </w:r>
      <w:proofErr w:type="gramStart"/>
      <w:r>
        <w:rPr>
          <w:rFonts w:ascii="仿宋" w:eastAsia="仿宋" w:hAnsi="仿宋" w:cs="仿宋" w:hint="eastAsia"/>
          <w:kern w:val="0"/>
          <w:sz w:val="20"/>
          <w:szCs w:val="20"/>
        </w:rPr>
        <w:t>险不会</w:t>
      </w:r>
      <w:proofErr w:type="gramEnd"/>
      <w:r>
        <w:rPr>
          <w:rFonts w:ascii="仿宋" w:eastAsia="仿宋" w:hAnsi="仿宋" w:cs="仿宋" w:hint="eastAsia"/>
          <w:kern w:val="0"/>
          <w:sz w:val="20"/>
          <w:szCs w:val="20"/>
        </w:rPr>
        <w:t>出现任何中断。（合同履行期限：自2025年2月1日起至2026年1月31日止）</w:t>
      </w:r>
    </w:p>
    <w:p w:rsidR="00694A1B" w:rsidRDefault="00694A1B" w:rsidP="00694A1B">
      <w:pPr>
        <w:autoSpaceDE w:val="0"/>
        <w:autoSpaceDN w:val="0"/>
        <w:adjustRightInd w:val="0"/>
        <w:snapToGrid w:val="0"/>
        <w:spacing w:line="360" w:lineRule="auto"/>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2.保险金额：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4040"/>
        <w:gridCol w:w="2112"/>
      </w:tblGrid>
      <w:tr w:rsidR="00694A1B" w:rsidTr="00CF0B21">
        <w:trPr>
          <w:trHeight w:val="591"/>
        </w:trPr>
        <w:tc>
          <w:tcPr>
            <w:tcW w:w="6382" w:type="dxa"/>
            <w:gridSpan w:val="2"/>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累计赔偿限额</w:t>
            </w:r>
          </w:p>
        </w:tc>
        <w:tc>
          <w:tcPr>
            <w:tcW w:w="2112"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 xml:space="preserve">3000万元 </w:t>
            </w:r>
          </w:p>
        </w:tc>
      </w:tr>
      <w:tr w:rsidR="00694A1B" w:rsidTr="00CF0B21">
        <w:trPr>
          <w:trHeight w:val="420"/>
        </w:trPr>
        <w:tc>
          <w:tcPr>
            <w:tcW w:w="2342" w:type="dxa"/>
            <w:vMerge w:val="restart"/>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每次事故责任限额</w:t>
            </w:r>
          </w:p>
        </w:tc>
        <w:tc>
          <w:tcPr>
            <w:tcW w:w="4040"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每次事故赔偿限额</w:t>
            </w:r>
          </w:p>
        </w:tc>
        <w:tc>
          <w:tcPr>
            <w:tcW w:w="2112"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200万元</w:t>
            </w:r>
          </w:p>
        </w:tc>
      </w:tr>
      <w:tr w:rsidR="00694A1B" w:rsidTr="00CF0B21">
        <w:trPr>
          <w:trHeight w:val="256"/>
        </w:trPr>
        <w:tc>
          <w:tcPr>
            <w:tcW w:w="2342" w:type="dxa"/>
            <w:vMerge/>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p>
        </w:tc>
        <w:tc>
          <w:tcPr>
            <w:tcW w:w="4040"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 xml:space="preserve">每次事故每人赔偿限额 </w:t>
            </w:r>
          </w:p>
        </w:tc>
        <w:tc>
          <w:tcPr>
            <w:tcW w:w="2112"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20万元</w:t>
            </w:r>
          </w:p>
        </w:tc>
      </w:tr>
      <w:tr w:rsidR="00694A1B" w:rsidTr="00CF0B21">
        <w:trPr>
          <w:trHeight w:val="281"/>
        </w:trPr>
        <w:tc>
          <w:tcPr>
            <w:tcW w:w="2342" w:type="dxa"/>
            <w:vMerge/>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p>
        </w:tc>
        <w:tc>
          <w:tcPr>
            <w:tcW w:w="4040"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每次事故财产损失赔偿限额</w:t>
            </w:r>
          </w:p>
        </w:tc>
        <w:tc>
          <w:tcPr>
            <w:tcW w:w="2112" w:type="dxa"/>
          </w:tcPr>
          <w:p w:rsidR="00694A1B" w:rsidRDefault="00694A1B" w:rsidP="00CF0B21">
            <w:pPr>
              <w:autoSpaceDE w:val="0"/>
              <w:autoSpaceDN w:val="0"/>
              <w:adjustRightInd w:val="0"/>
              <w:snapToGrid w:val="0"/>
              <w:spacing w:line="360" w:lineRule="auto"/>
              <w:jc w:val="left"/>
              <w:rPr>
                <w:rFonts w:ascii="仿宋" w:eastAsia="仿宋" w:hAnsi="仿宋" w:cs="仿宋"/>
                <w:kern w:val="0"/>
                <w:sz w:val="20"/>
                <w:szCs w:val="20"/>
              </w:rPr>
            </w:pPr>
            <w:r>
              <w:rPr>
                <w:rFonts w:ascii="仿宋" w:eastAsia="仿宋" w:hAnsi="仿宋" w:cs="仿宋" w:hint="eastAsia"/>
                <w:kern w:val="0"/>
                <w:sz w:val="20"/>
                <w:szCs w:val="20"/>
              </w:rPr>
              <w:t>5万元</w:t>
            </w:r>
          </w:p>
        </w:tc>
      </w:tr>
    </w:tbl>
    <w:p w:rsidR="00694A1B" w:rsidRDefault="00694A1B" w:rsidP="00694A1B">
      <w:pPr>
        <w:pStyle w:val="null3"/>
        <w:rPr>
          <w:rFonts w:ascii="仿宋" w:eastAsia="仿宋" w:hAnsi="仿宋" w:cs="仿宋" w:hint="default"/>
          <w:b/>
          <w:bCs/>
          <w:sz w:val="22"/>
          <w:szCs w:val="22"/>
        </w:rPr>
      </w:pPr>
    </w:p>
    <w:p w:rsidR="00694A1B" w:rsidRDefault="00694A1B" w:rsidP="00694A1B">
      <w:pPr>
        <w:spacing w:line="480" w:lineRule="auto"/>
        <w:rPr>
          <w:rFonts w:ascii="仿宋" w:eastAsia="仿宋" w:hAnsi="仿宋" w:cs="仿宋"/>
          <w:b/>
          <w:bCs/>
          <w:color w:val="000000"/>
          <w:sz w:val="28"/>
          <w:szCs w:val="28"/>
        </w:rPr>
      </w:pPr>
      <w:r>
        <w:rPr>
          <w:rFonts w:eastAsia="仿宋" w:hint="eastAsia"/>
          <w:b/>
          <w:bCs/>
          <w:sz w:val="22"/>
          <w:szCs w:val="22"/>
        </w:rPr>
        <w:t>★</w:t>
      </w:r>
      <w:r>
        <w:rPr>
          <w:rFonts w:ascii="仿宋" w:eastAsia="仿宋" w:hAnsi="仿宋" w:cs="仿宋" w:hint="eastAsia"/>
          <w:b/>
          <w:sz w:val="28"/>
        </w:rPr>
        <w:t>3.3.项目采购要求（采购包1）</w:t>
      </w:r>
    </w:p>
    <w:p w:rsidR="00694A1B" w:rsidRDefault="00694A1B" w:rsidP="00694A1B">
      <w:pPr>
        <w:spacing w:line="480" w:lineRule="auto"/>
        <w:rPr>
          <w:rFonts w:ascii="仿宋" w:eastAsia="仿宋" w:hAnsi="仿宋" w:cs="仿宋"/>
          <w:b/>
          <w:bCs/>
          <w:color w:val="000000"/>
          <w:sz w:val="24"/>
        </w:rPr>
      </w:pPr>
      <w:r>
        <w:rPr>
          <w:rFonts w:ascii="仿宋" w:eastAsia="仿宋" w:hAnsi="仿宋" w:cs="仿宋" w:hint="eastAsia"/>
          <w:b/>
          <w:sz w:val="28"/>
        </w:rPr>
        <w:t>一、</w:t>
      </w:r>
      <w:r>
        <w:rPr>
          <w:rFonts w:ascii="仿宋" w:eastAsia="仿宋" w:hAnsi="仿宋" w:cs="仿宋" w:hint="eastAsia"/>
          <w:b/>
          <w:bCs/>
          <w:sz w:val="22"/>
          <w:szCs w:val="22"/>
        </w:rPr>
        <w:t>★</w:t>
      </w:r>
      <w:r>
        <w:rPr>
          <w:rFonts w:ascii="仿宋" w:eastAsia="仿宋" w:hAnsi="仿宋" w:cs="仿宋" w:hint="eastAsia"/>
          <w:b/>
          <w:sz w:val="28"/>
        </w:rPr>
        <w:t>商务要求</w:t>
      </w:r>
      <w:r>
        <w:rPr>
          <w:rFonts w:ascii="仿宋" w:eastAsia="仿宋" w:hAnsi="仿宋" w:cs="仿宋" w:hint="eastAsia"/>
          <w:b/>
          <w:bCs/>
          <w:color w:val="000000"/>
          <w:sz w:val="28"/>
          <w:szCs w:val="28"/>
        </w:rPr>
        <w:t>：</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b/>
          <w:bCs/>
          <w:color w:val="000000"/>
          <w:sz w:val="22"/>
          <w:szCs w:val="22"/>
        </w:rPr>
        <w:t>1.合同履约地点：</w:t>
      </w:r>
      <w:r>
        <w:rPr>
          <w:rFonts w:ascii="仿宋" w:eastAsia="仿宋" w:hAnsi="仿宋" w:cs="仿宋" w:hint="eastAsia"/>
          <w:color w:val="000000"/>
          <w:sz w:val="22"/>
          <w:szCs w:val="22"/>
        </w:rPr>
        <w:t>内江市第一人民医院。</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b/>
          <w:bCs/>
          <w:color w:val="000000"/>
          <w:sz w:val="22"/>
          <w:szCs w:val="22"/>
        </w:rPr>
        <w:t>2.合同支付约定：</w:t>
      </w:r>
      <w:r>
        <w:rPr>
          <w:rFonts w:ascii="仿宋" w:eastAsia="仿宋" w:hAnsi="仿宋" w:cs="仿宋" w:hint="eastAsia"/>
          <w:color w:val="000000"/>
          <w:sz w:val="22"/>
          <w:szCs w:val="22"/>
        </w:rPr>
        <w:t>签订合同后30日内支付合同金额的100%。</w:t>
      </w:r>
    </w:p>
    <w:p w:rsidR="00694A1B" w:rsidRDefault="00694A1B" w:rsidP="00694A1B">
      <w:pPr>
        <w:pStyle w:val="2"/>
        <w:spacing w:after="0"/>
        <w:ind w:firstLine="0"/>
        <w:jc w:val="left"/>
        <w:rPr>
          <w:rFonts w:ascii="仿宋" w:eastAsia="仿宋" w:hAnsi="仿宋" w:cs="仿宋"/>
          <w:b/>
          <w:bCs/>
          <w:sz w:val="24"/>
        </w:rPr>
      </w:pPr>
      <w:r>
        <w:rPr>
          <w:rFonts w:ascii="仿宋" w:eastAsia="仿宋" w:hAnsi="仿宋" w:cs="仿宋"/>
          <w:b/>
          <w:bCs/>
          <w:sz w:val="24"/>
        </w:rPr>
        <w:t>3.验收</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lastRenderedPageBreak/>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rsidR="00694A1B" w:rsidRDefault="00694A1B" w:rsidP="00694A1B">
      <w:pPr>
        <w:spacing w:line="240" w:lineRule="exact"/>
        <w:ind w:firstLine="420"/>
        <w:rPr>
          <w:rFonts w:ascii="仿宋" w:eastAsia="仿宋" w:hAnsi="仿宋" w:cs="仿宋"/>
          <w:color w:val="000000"/>
          <w:sz w:val="22"/>
          <w:szCs w:val="22"/>
        </w:rPr>
      </w:pPr>
      <w:r>
        <w:rPr>
          <w:rFonts w:ascii="仿宋" w:eastAsia="仿宋" w:hAnsi="仿宋" w:cs="仿宋" w:hint="eastAsia"/>
          <w:color w:val="000000"/>
          <w:sz w:val="22"/>
          <w:szCs w:val="22"/>
        </w:rPr>
        <w:t>（2）其他未尽事宜严格按照《财政部关于进一步加强政府采购需求和履约验收管理的指导意见》（财库〔2016〕205号）的要求进行。</w:t>
      </w:r>
    </w:p>
    <w:p w:rsidR="00694A1B" w:rsidRDefault="00694A1B" w:rsidP="00694A1B">
      <w:pPr>
        <w:pStyle w:val="2"/>
        <w:spacing w:after="0"/>
        <w:ind w:firstLine="0"/>
        <w:jc w:val="left"/>
        <w:rPr>
          <w:rFonts w:ascii="仿宋" w:eastAsia="仿宋" w:hAnsi="仿宋" w:cs="仿宋"/>
          <w:b/>
          <w:bCs/>
          <w:sz w:val="24"/>
        </w:rPr>
      </w:pPr>
      <w:r>
        <w:rPr>
          <w:rFonts w:ascii="仿宋" w:eastAsia="仿宋" w:hAnsi="仿宋" w:cs="仿宋" w:hint="eastAsia"/>
          <w:b/>
          <w:bCs/>
          <w:sz w:val="24"/>
          <w:lang w:val="en-US"/>
        </w:rPr>
        <w:t>4.</w:t>
      </w:r>
      <w:r>
        <w:rPr>
          <w:rFonts w:ascii="仿宋" w:eastAsia="仿宋" w:hAnsi="仿宋" w:cs="仿宋" w:hint="eastAsia"/>
          <w:b/>
          <w:bCs/>
          <w:sz w:val="24"/>
        </w:rPr>
        <w:t>保险责任：</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1）在保险期间内，被保险人在保险载明的区域范围内因经营业务发生意外事故，造成第三者的人身伤亡或财产损失，依照中华人民共和国法律（不包括港澳台地区法律）应由被保险人承担的经济赔偿责任，保险人负责赔偿。</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2）在保险期间内，发生本条款第三条所规定的意外事故造成第三者的人身伤亡，受害人或其近亲属提出精神损害赔偿的，依照中华人民共和国（不包括港澳台地区）法院判决应由被保险人承担的精神损害赔偿责任，保险人负责赔偿。</w:t>
      </w:r>
    </w:p>
    <w:p w:rsidR="00694A1B" w:rsidRDefault="00694A1B" w:rsidP="00694A1B">
      <w:pPr>
        <w:ind w:firstLine="420"/>
        <w:rPr>
          <w:rFonts w:ascii="仿宋" w:eastAsia="仿宋" w:hAnsi="仿宋" w:cs="仿宋"/>
          <w:b/>
          <w:bCs/>
          <w:sz w:val="24"/>
        </w:rPr>
      </w:pPr>
      <w:r>
        <w:rPr>
          <w:rFonts w:ascii="仿宋" w:eastAsia="仿宋" w:hAnsi="仿宋" w:cs="仿宋" w:hint="eastAsia"/>
          <w:color w:val="000000"/>
          <w:sz w:val="22"/>
          <w:szCs w:val="22"/>
        </w:rPr>
        <w:t>（3）保险事故发生后，被保险人因保险事故而被提起仲裁或者诉讼的，对应由被保险人支付的仲裁或诉讼费用以及事先经保险人书面同意支付的其他必要的、合理的法律费用，保险人负责赔偿。</w:t>
      </w:r>
    </w:p>
    <w:p w:rsidR="00694A1B" w:rsidRDefault="00694A1B" w:rsidP="00694A1B">
      <w:pPr>
        <w:pStyle w:val="null3"/>
        <w:outlineLvl w:val="2"/>
        <w:rPr>
          <w:rFonts w:ascii="仿宋" w:eastAsia="仿宋" w:hAnsi="仿宋" w:cs="仿宋" w:hint="default"/>
        </w:rPr>
      </w:pPr>
      <w:bookmarkStart w:id="4" w:name="_Toc27659"/>
      <w:r>
        <w:rPr>
          <w:rFonts w:ascii="仿宋" w:eastAsia="仿宋" w:hAnsi="仿宋" w:cs="仿宋"/>
          <w:b/>
          <w:sz w:val="28"/>
        </w:rPr>
        <w:t>3.4.其他要求</w:t>
      </w:r>
      <w:bookmarkEnd w:id="4"/>
    </w:p>
    <w:p w:rsidR="00694A1B" w:rsidRDefault="00694A1B" w:rsidP="00694A1B">
      <w:pPr>
        <w:pStyle w:val="null3"/>
        <w:ind w:firstLine="480"/>
        <w:rPr>
          <w:rFonts w:ascii="仿宋" w:eastAsia="仿宋" w:hAnsi="仿宋" w:cs="仿宋" w:hint="default"/>
          <w:b/>
          <w:bCs/>
          <w:sz w:val="24"/>
          <w:szCs w:val="24"/>
        </w:rPr>
      </w:pPr>
      <w:r>
        <w:rPr>
          <w:rFonts w:ascii="仿宋" w:eastAsia="仿宋" w:hAnsi="仿宋" w:cs="仿宋"/>
          <w:b/>
          <w:bCs/>
          <w:sz w:val="24"/>
          <w:szCs w:val="24"/>
        </w:rPr>
        <w:t>1.</w:t>
      </w:r>
      <w:r>
        <w:rPr>
          <w:rFonts w:ascii="仿宋" w:eastAsia="仿宋" w:hAnsi="仿宋" w:cs="仿宋" w:hint="default"/>
          <w:b/>
          <w:bCs/>
          <w:sz w:val="24"/>
          <w:szCs w:val="24"/>
        </w:rPr>
        <w:t>违约责任与解决争议的方法：</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1.如因供应商的工作人员在履行职务过程中的疏忽、失职、过错等故意或者过失原因给采购人造成损失或侵害，包括但不限于采购人本身的财产损失、由此而导致的采购人对任何第三方的法律责任等，供应商对此均应承担全部的赔偿责任。</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2、由于供应商违反本合同中所约定之内容，不能完成服务目标的，采购人有权要求供应商在一个月的合同检查周期内整改。若供应商两次未于采购人整改期限内完成整改的，采购人有权终止合同。造成采购人经济损失的，供应</w:t>
      </w:r>
      <w:proofErr w:type="gramStart"/>
      <w:r>
        <w:rPr>
          <w:rFonts w:ascii="仿宋" w:eastAsia="仿宋" w:hAnsi="仿宋" w:cs="仿宋" w:hint="eastAsia"/>
          <w:color w:val="000000"/>
          <w:sz w:val="22"/>
          <w:szCs w:val="22"/>
        </w:rPr>
        <w:t>商予以</w:t>
      </w:r>
      <w:proofErr w:type="gramEnd"/>
      <w:r>
        <w:rPr>
          <w:rFonts w:ascii="仿宋" w:eastAsia="仿宋" w:hAnsi="仿宋" w:cs="仿宋" w:hint="eastAsia"/>
          <w:color w:val="000000"/>
          <w:sz w:val="22"/>
          <w:szCs w:val="22"/>
        </w:rPr>
        <w:t>赔偿。</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3、供应商不能按时提供服务或逾期提供服务视为违约，除应及时提供服务外，还应向采购人偿付合同总价的1%/天的违约金；逾期超过15天，采购人有权终止合同，供应商则应按合同总价的30%的款额向采购人偿付违约金，并须全额退还采购人所支付的服务费及其利息。</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4、供应商在履约过程中，因工作推进不力的，采购人有权要求供应商整改，供应商两次整改仍不符合要求的，采购人有权终止合同。</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5、供应商应当遵守采购人的相关项目需求及相关技术要求及实质性条款，实施完成采购合同应当完全满足相关项目需求及相关技术要求及实质性条款，若供应商瑕疵履行采购合同，采购人有权向供应商要求赔偿合同总价款30%的违约金，违约金不足以弥补采购人损失时，供应商还应赔偿采购人全部损失。</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6、供应商提供的普查成果须通过主管部门审核，审核不通过，供应商承担全部责任，产生的额外费用由供应商承担。</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7、因供应商过失给采购人造成重大不良影响或损失的，采购人有权单方面终止合同，并不承担任何损失和补偿。</w:t>
      </w:r>
    </w:p>
    <w:p w:rsidR="00694A1B" w:rsidRDefault="00694A1B" w:rsidP="00694A1B">
      <w:pPr>
        <w:ind w:firstLine="420"/>
        <w:rPr>
          <w:rFonts w:ascii="仿宋" w:eastAsia="仿宋" w:hAnsi="仿宋" w:cs="仿宋"/>
          <w:color w:val="000000"/>
          <w:sz w:val="22"/>
          <w:szCs w:val="22"/>
        </w:rPr>
      </w:pPr>
      <w:r>
        <w:rPr>
          <w:rFonts w:ascii="仿宋" w:eastAsia="仿宋" w:hAnsi="仿宋" w:cs="仿宋" w:hint="eastAsia"/>
          <w:color w:val="000000"/>
          <w:sz w:val="22"/>
          <w:szCs w:val="22"/>
        </w:rPr>
        <w:t>8、供应商偿付的违约金不足以弥补采购人损失的，还应按采购人损失尚未弥补的部分，支付赔偿金给采购人。</w:t>
      </w:r>
    </w:p>
    <w:p w:rsidR="00694A1B" w:rsidRDefault="00694A1B" w:rsidP="00694A1B">
      <w:pPr>
        <w:pStyle w:val="null3"/>
        <w:ind w:firstLine="480"/>
        <w:rPr>
          <w:rFonts w:ascii="Times New Roman" w:eastAsia="仿宋" w:hAnsi="Times New Roman" w:cs="Times New Roman" w:hint="default"/>
          <w:sz w:val="24"/>
          <w:szCs w:val="24"/>
        </w:rPr>
      </w:pPr>
      <w:r>
        <w:rPr>
          <w:rFonts w:ascii="仿宋" w:eastAsia="仿宋" w:hAnsi="仿宋" w:cs="仿宋"/>
          <w:b/>
          <w:bCs/>
          <w:sz w:val="24"/>
          <w:szCs w:val="24"/>
        </w:rPr>
        <w:t>2.</w:t>
      </w:r>
      <w:r>
        <w:rPr>
          <w:rFonts w:ascii="Times New Roman" w:eastAsia="仿宋" w:hAnsi="Times New Roman" w:cs="Times New Roman" w:hint="default"/>
          <w:b/>
          <w:bCs/>
          <w:sz w:val="24"/>
          <w:szCs w:val="24"/>
        </w:rPr>
        <w:t>履行期限</w:t>
      </w:r>
      <w:r>
        <w:rPr>
          <w:rFonts w:ascii="Times New Roman" w:eastAsia="仿宋" w:hAnsi="Times New Roman" w:cs="Times New Roman"/>
          <w:b/>
          <w:bCs/>
          <w:sz w:val="24"/>
          <w:szCs w:val="24"/>
        </w:rPr>
        <w:t>：</w:t>
      </w:r>
      <w:r>
        <w:rPr>
          <w:rFonts w:ascii="仿宋" w:eastAsia="仿宋" w:hAnsi="仿宋" w:cs="仿宋"/>
          <w:color w:val="000000"/>
          <w:sz w:val="22"/>
          <w:szCs w:val="22"/>
        </w:rPr>
        <w:t>1年。</w:t>
      </w:r>
    </w:p>
    <w:p w:rsidR="00694A1B" w:rsidRDefault="00694A1B" w:rsidP="00694A1B">
      <w:pPr>
        <w:pStyle w:val="null3"/>
        <w:ind w:firstLine="480"/>
        <w:rPr>
          <w:rFonts w:ascii="仿宋" w:eastAsia="仿宋" w:hAnsi="仿宋" w:cs="仿宋" w:hint="default"/>
          <w:sz w:val="24"/>
          <w:szCs w:val="24"/>
        </w:rPr>
      </w:pPr>
      <w:r>
        <w:rPr>
          <w:rFonts w:ascii="仿宋" w:eastAsia="仿宋" w:hAnsi="仿宋" w:cs="仿宋"/>
          <w:b/>
          <w:bCs/>
          <w:sz w:val="24"/>
          <w:szCs w:val="24"/>
        </w:rPr>
        <w:t>3.支付方式：</w:t>
      </w:r>
      <w:r>
        <w:rPr>
          <w:rFonts w:ascii="仿宋" w:eastAsia="仿宋" w:hAnsi="仿宋" w:cs="仿宋"/>
          <w:color w:val="000000"/>
          <w:sz w:val="22"/>
          <w:szCs w:val="22"/>
        </w:rPr>
        <w:t>签订合同后30日内支付合同金额的100%。</w:t>
      </w:r>
    </w:p>
    <w:p w:rsidR="00694A1B" w:rsidRDefault="00694A1B" w:rsidP="00694A1B">
      <w:pPr>
        <w:pStyle w:val="null3"/>
        <w:ind w:firstLine="480"/>
        <w:rPr>
          <w:rFonts w:ascii="仿宋" w:eastAsia="仿宋" w:hAnsi="仿宋" w:cs="仿宋" w:hint="default"/>
          <w:b/>
          <w:bCs/>
          <w:sz w:val="24"/>
          <w:szCs w:val="24"/>
        </w:rPr>
      </w:pPr>
      <w:r>
        <w:rPr>
          <w:rFonts w:ascii="仿宋" w:eastAsia="仿宋" w:hAnsi="仿宋" w:cs="仿宋"/>
          <w:b/>
          <w:bCs/>
          <w:sz w:val="24"/>
          <w:szCs w:val="24"/>
        </w:rPr>
        <w:t>4.</w:t>
      </w:r>
      <w:r>
        <w:rPr>
          <w:rFonts w:ascii="仿宋" w:eastAsia="仿宋" w:hAnsi="仿宋" w:cs="仿宋" w:hint="default"/>
          <w:b/>
          <w:bCs/>
          <w:sz w:val="24"/>
          <w:szCs w:val="24"/>
        </w:rPr>
        <w:t>履约验收程序</w:t>
      </w:r>
      <w:r>
        <w:rPr>
          <w:rFonts w:ascii="仿宋" w:eastAsia="仿宋" w:hAnsi="仿宋" w:cs="仿宋"/>
          <w:b/>
          <w:bCs/>
          <w:sz w:val="24"/>
          <w:szCs w:val="24"/>
        </w:rPr>
        <w:t>：</w:t>
      </w:r>
      <w:r>
        <w:rPr>
          <w:rFonts w:ascii="仿宋" w:eastAsia="仿宋" w:hAnsi="仿宋" w:cs="仿宋"/>
          <w:color w:val="000000"/>
          <w:sz w:val="22"/>
          <w:szCs w:val="22"/>
        </w:rPr>
        <w:t>按照合同进行赔偿。</w:t>
      </w:r>
    </w:p>
    <w:p w:rsidR="009359A2" w:rsidRDefault="00694A1B" w:rsidP="00694A1B">
      <w:pPr>
        <w:ind w:firstLineChars="200" w:firstLine="482"/>
      </w:pPr>
      <w:r>
        <w:rPr>
          <w:rFonts w:ascii="仿宋" w:eastAsia="仿宋" w:hAnsi="仿宋" w:cs="仿宋"/>
          <w:b/>
          <w:bCs/>
          <w:sz w:val="24"/>
        </w:rPr>
        <w:t>5.履约验收时间：</w:t>
      </w:r>
      <w:r>
        <w:rPr>
          <w:rFonts w:ascii="仿宋" w:eastAsia="仿宋" w:hAnsi="仿宋" w:cs="仿宋"/>
          <w:color w:val="000000"/>
          <w:sz w:val="22"/>
          <w:szCs w:val="22"/>
        </w:rPr>
        <w:t>1年。</w:t>
      </w:r>
    </w:p>
    <w:sectPr w:rsidR="009359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Times New Roman"/>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A1B"/>
    <w:rsid w:val="00694A1B"/>
    <w:rsid w:val="00935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A1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694A1B"/>
    <w:pPr>
      <w:spacing w:after="120"/>
      <w:ind w:leftChars="200" w:left="420"/>
    </w:pPr>
  </w:style>
  <w:style w:type="character" w:customStyle="1" w:styleId="Char">
    <w:name w:val="正文文本缩进 Char"/>
    <w:basedOn w:val="a0"/>
    <w:link w:val="a3"/>
    <w:uiPriority w:val="99"/>
    <w:semiHidden/>
    <w:rsid w:val="00694A1B"/>
    <w:rPr>
      <w:rFonts w:ascii="Times New Roman" w:eastAsia="宋体" w:hAnsi="Times New Roman" w:cs="Times New Roman"/>
      <w:szCs w:val="24"/>
    </w:rPr>
  </w:style>
  <w:style w:type="paragraph" w:styleId="2">
    <w:name w:val="Body Text First Indent 2"/>
    <w:basedOn w:val="a3"/>
    <w:link w:val="2Char"/>
    <w:uiPriority w:val="99"/>
    <w:qFormat/>
    <w:rsid w:val="00694A1B"/>
    <w:pPr>
      <w:ind w:firstLine="420"/>
    </w:pPr>
    <w:rPr>
      <w:rFonts w:ascii="Calibri" w:hAnsi="Calibri"/>
      <w:lang w:val="zh-CN"/>
    </w:rPr>
  </w:style>
  <w:style w:type="character" w:customStyle="1" w:styleId="2Char">
    <w:name w:val="正文首行缩进 2 Char"/>
    <w:basedOn w:val="Char"/>
    <w:link w:val="2"/>
    <w:uiPriority w:val="99"/>
    <w:rsid w:val="00694A1B"/>
    <w:rPr>
      <w:rFonts w:ascii="Calibri" w:eastAsia="宋体" w:hAnsi="Calibri" w:cs="Times New Roman"/>
      <w:szCs w:val="24"/>
      <w:lang w:val="zh-CN"/>
    </w:rPr>
  </w:style>
  <w:style w:type="paragraph" w:customStyle="1" w:styleId="null3">
    <w:name w:val="null3"/>
    <w:autoRedefine/>
    <w:hidden/>
    <w:qFormat/>
    <w:rsid w:val="00694A1B"/>
    <w:rPr>
      <w:rFonts w:hint="eastAsia"/>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A1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694A1B"/>
    <w:pPr>
      <w:spacing w:after="120"/>
      <w:ind w:leftChars="200" w:left="420"/>
    </w:pPr>
  </w:style>
  <w:style w:type="character" w:customStyle="1" w:styleId="Char">
    <w:name w:val="正文文本缩进 Char"/>
    <w:basedOn w:val="a0"/>
    <w:link w:val="a3"/>
    <w:uiPriority w:val="99"/>
    <w:semiHidden/>
    <w:rsid w:val="00694A1B"/>
    <w:rPr>
      <w:rFonts w:ascii="Times New Roman" w:eastAsia="宋体" w:hAnsi="Times New Roman" w:cs="Times New Roman"/>
      <w:szCs w:val="24"/>
    </w:rPr>
  </w:style>
  <w:style w:type="paragraph" w:styleId="2">
    <w:name w:val="Body Text First Indent 2"/>
    <w:basedOn w:val="a3"/>
    <w:link w:val="2Char"/>
    <w:uiPriority w:val="99"/>
    <w:qFormat/>
    <w:rsid w:val="00694A1B"/>
    <w:pPr>
      <w:ind w:firstLine="420"/>
    </w:pPr>
    <w:rPr>
      <w:rFonts w:ascii="Calibri" w:hAnsi="Calibri"/>
      <w:lang w:val="zh-CN"/>
    </w:rPr>
  </w:style>
  <w:style w:type="character" w:customStyle="1" w:styleId="2Char">
    <w:name w:val="正文首行缩进 2 Char"/>
    <w:basedOn w:val="Char"/>
    <w:link w:val="2"/>
    <w:uiPriority w:val="99"/>
    <w:rsid w:val="00694A1B"/>
    <w:rPr>
      <w:rFonts w:ascii="Calibri" w:eastAsia="宋体" w:hAnsi="Calibri" w:cs="Times New Roman"/>
      <w:szCs w:val="24"/>
      <w:lang w:val="zh-CN"/>
    </w:rPr>
  </w:style>
  <w:style w:type="paragraph" w:customStyle="1" w:styleId="null3">
    <w:name w:val="null3"/>
    <w:autoRedefine/>
    <w:hidden/>
    <w:qFormat/>
    <w:rsid w:val="00694A1B"/>
    <w:rPr>
      <w:rFonts w:hint="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1616</Characters>
  <Application>Microsoft Office Word</Application>
  <DocSecurity>0</DocSecurity>
  <Lines>13</Lines>
  <Paragraphs>3</Paragraphs>
  <ScaleCrop>false</ScaleCrop>
  <Company>Microsoft</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2025-02-19T05:35:00Z</dcterms:created>
  <dcterms:modified xsi:type="dcterms:W3CDTF">2025-02-19T05:37:00Z</dcterms:modified>
</cp:coreProperties>
</file>