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58F39C">
      <w:pPr>
        <w:pStyle w:val="6"/>
        <w:jc w:val="center"/>
        <w:outlineLvl w:val="0"/>
        <w:rPr>
          <w:rFonts w:hint="eastAsia" w:ascii="仿宋" w:hAnsi="仿宋" w:eastAsia="仿宋" w:cs="仿宋"/>
          <w:highlight w:val="none"/>
        </w:rPr>
      </w:pPr>
      <w:bookmarkStart w:id="0" w:name="_Toc27801"/>
      <w:r>
        <w:rPr>
          <w:rFonts w:hint="eastAsia" w:ascii="仿宋" w:hAnsi="仿宋" w:eastAsia="仿宋" w:cs="仿宋"/>
          <w:b/>
          <w:sz w:val="36"/>
          <w:highlight w:val="none"/>
        </w:rPr>
        <w:t>第三章 技术、服务及其他要求</w:t>
      </w:r>
      <w:bookmarkEnd w:id="0"/>
    </w:p>
    <w:p w14:paraId="3E132B5E">
      <w:pPr>
        <w:pStyle w:val="6"/>
        <w:ind w:firstLine="480"/>
        <w:jc w:val="left"/>
        <w:rPr>
          <w:rFonts w:hint="eastAsia" w:ascii="仿宋" w:hAnsi="仿宋" w:eastAsia="仿宋" w:cs="仿宋"/>
          <w:highlight w:val="none"/>
        </w:rPr>
      </w:pPr>
      <w:r>
        <w:rPr>
          <w:rFonts w:hint="eastAsia" w:ascii="仿宋" w:hAnsi="仿宋" w:eastAsia="仿宋" w:cs="仿宋"/>
          <w:highlight w:val="none"/>
        </w:rPr>
        <w:t>（注：本章的技术、服务及其他要求中，带“★”的要求为实质性要求。</w:t>
      </w:r>
      <w:r>
        <w:rPr>
          <w:rFonts w:hint="eastAsia" w:ascii="仿宋" w:hAnsi="仿宋" w:eastAsia="仿宋" w:cs="仿宋"/>
          <w:highlight w:val="none"/>
          <w:lang w:eastAsia="zh-CN"/>
        </w:rPr>
        <w:t>采购人</w:t>
      </w:r>
      <w:r>
        <w:rPr>
          <w:rFonts w:hint="eastAsia" w:ascii="仿宋" w:hAnsi="仿宋" w:eastAsia="仿宋" w:cs="仿宋"/>
          <w:highlight w:val="none"/>
        </w:rPr>
        <w:t>、代理机构应当根据项目实际要求合理设定，并在第五章符合性审查中明确响应要求。）</w:t>
      </w:r>
    </w:p>
    <w:p w14:paraId="5468B7E8">
      <w:pPr>
        <w:pStyle w:val="6"/>
        <w:jc w:val="left"/>
        <w:outlineLvl w:val="1"/>
        <w:rPr>
          <w:rFonts w:hint="eastAsia" w:ascii="仿宋" w:hAnsi="仿宋" w:eastAsia="仿宋" w:cs="仿宋"/>
          <w:highlight w:val="none"/>
          <w:lang w:eastAsia="zh-CN"/>
        </w:rPr>
      </w:pPr>
      <w:r>
        <w:rPr>
          <w:rFonts w:hint="eastAsia" w:ascii="仿宋" w:hAnsi="仿宋" w:eastAsia="仿宋" w:cs="仿宋"/>
          <w:b/>
          <w:sz w:val="28"/>
          <w:highlight w:val="none"/>
        </w:rPr>
        <w:t>3.1.</w:t>
      </w:r>
      <w:r>
        <w:rPr>
          <w:rFonts w:hint="eastAsia" w:ascii="仿宋" w:hAnsi="仿宋" w:eastAsia="仿宋" w:cs="仿宋"/>
          <w:b/>
          <w:sz w:val="28"/>
          <w:highlight w:val="none"/>
          <w:lang w:val="en-US" w:eastAsia="zh-CN"/>
        </w:rPr>
        <w:t>标的情况</w:t>
      </w:r>
    </w:p>
    <w:p w14:paraId="022E2016">
      <w:pPr>
        <w:pStyle w:val="6"/>
        <w:jc w:val="left"/>
        <w:outlineLvl w:val="2"/>
        <w:rPr>
          <w:rFonts w:hint="eastAsia" w:ascii="仿宋" w:hAnsi="仿宋" w:eastAsia="仿宋" w:cs="仿宋"/>
          <w:b/>
          <w:bCs/>
          <w:i w:val="0"/>
          <w:iCs w:val="0"/>
          <w:highlight w:val="none"/>
        </w:rPr>
      </w:pPr>
      <w:r>
        <w:rPr>
          <w:rFonts w:hint="eastAsia" w:ascii="仿宋" w:hAnsi="仿宋" w:eastAsia="仿宋" w:cs="仿宋"/>
          <w:b/>
          <w:bCs/>
          <w:i w:val="0"/>
          <w:iCs w:val="0"/>
          <w:sz w:val="24"/>
          <w:szCs w:val="24"/>
          <w:highlight w:val="none"/>
        </w:rPr>
        <w:t>采购包1：</w:t>
      </w:r>
    </w:p>
    <w:tbl>
      <w:tblPr>
        <w:tblStyle w:val="3"/>
        <w:tblW w:w="4997" w:type="pct"/>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523"/>
        <w:gridCol w:w="2041"/>
        <w:gridCol w:w="1381"/>
        <w:gridCol w:w="1383"/>
        <w:gridCol w:w="1383"/>
        <w:gridCol w:w="1390"/>
      </w:tblGrid>
      <w:tr w14:paraId="20D41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3" w:hRule="atLeast"/>
          <w:jc w:val="center"/>
        </w:trPr>
        <w:tc>
          <w:tcPr>
            <w:tcW w:w="244" w:type="pct"/>
            <w:vAlign w:val="center"/>
          </w:tcPr>
          <w:p w14:paraId="48A3B5C8">
            <w:pPr>
              <w:pStyle w:val="6"/>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包号</w:t>
            </w:r>
          </w:p>
        </w:tc>
        <w:tc>
          <w:tcPr>
            <w:tcW w:w="307" w:type="pct"/>
            <w:vAlign w:val="center"/>
          </w:tcPr>
          <w:p w14:paraId="6E416B23">
            <w:pPr>
              <w:pStyle w:val="6"/>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编号</w:t>
            </w:r>
          </w:p>
        </w:tc>
        <w:tc>
          <w:tcPr>
            <w:tcW w:w="1198" w:type="pct"/>
            <w:vAlign w:val="center"/>
          </w:tcPr>
          <w:p w14:paraId="4BACC070">
            <w:pPr>
              <w:pStyle w:val="6"/>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标的名称</w:t>
            </w:r>
          </w:p>
        </w:tc>
        <w:tc>
          <w:tcPr>
            <w:tcW w:w="811" w:type="pct"/>
            <w:vAlign w:val="center"/>
          </w:tcPr>
          <w:p w14:paraId="47B55501">
            <w:pPr>
              <w:pStyle w:val="6"/>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★单价（元）</w:t>
            </w:r>
          </w:p>
        </w:tc>
        <w:tc>
          <w:tcPr>
            <w:tcW w:w="812" w:type="pct"/>
            <w:vAlign w:val="center"/>
          </w:tcPr>
          <w:p w14:paraId="2804D734">
            <w:pPr>
              <w:pStyle w:val="6"/>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★计量单位</w:t>
            </w:r>
          </w:p>
        </w:tc>
        <w:tc>
          <w:tcPr>
            <w:tcW w:w="812" w:type="pct"/>
            <w:vAlign w:val="center"/>
          </w:tcPr>
          <w:p w14:paraId="6ECE7E6B">
            <w:pPr>
              <w:pStyle w:val="6"/>
              <w:jc w:val="center"/>
              <w:rPr>
                <w:rFonts w:hint="eastAsia" w:ascii="仿宋" w:hAnsi="仿宋" w:eastAsia="仿宋" w:cs="仿宋"/>
                <w:highlight w:val="none"/>
                <w:lang w:val="en-US" w:eastAsia="zh-CN"/>
              </w:rPr>
            </w:pPr>
            <w:r>
              <w:rPr>
                <w:rFonts w:hint="eastAsia" w:ascii="仿宋" w:hAnsi="仿宋" w:eastAsia="仿宋" w:cs="仿宋"/>
                <w:b w:val="0"/>
                <w:bCs w:val="0"/>
                <w:sz w:val="22"/>
                <w:szCs w:val="22"/>
                <w:highlight w:val="none"/>
                <w:lang w:val="en-US" w:eastAsia="zh-CN"/>
              </w:rPr>
              <w:t>预计数量</w:t>
            </w:r>
          </w:p>
        </w:tc>
        <w:tc>
          <w:tcPr>
            <w:tcW w:w="812" w:type="pct"/>
            <w:vAlign w:val="center"/>
          </w:tcPr>
          <w:p w14:paraId="505F290E">
            <w:pPr>
              <w:pStyle w:val="6"/>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预算金额/最高限价（每年）（元）</w:t>
            </w:r>
          </w:p>
        </w:tc>
      </w:tr>
      <w:tr w14:paraId="7EBC48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244" w:type="pct"/>
            <w:vAlign w:val="center"/>
          </w:tcPr>
          <w:p w14:paraId="056BEEAC">
            <w:pPr>
              <w:pStyle w:val="6"/>
              <w:jc w:val="center"/>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c>
          <w:tcPr>
            <w:tcW w:w="307" w:type="pct"/>
            <w:vAlign w:val="center"/>
          </w:tcPr>
          <w:p w14:paraId="47408DAB">
            <w:pPr>
              <w:pStyle w:val="6"/>
              <w:jc w:val="center"/>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p>
        </w:tc>
        <w:tc>
          <w:tcPr>
            <w:tcW w:w="1198" w:type="pct"/>
            <w:vAlign w:val="center"/>
          </w:tcPr>
          <w:p w14:paraId="3AA10A32">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4"/>
                <w:szCs w:val="24"/>
                <w:highlight w:val="none"/>
                <w:lang w:val="en-US" w:eastAsia="zh-CN"/>
              </w:rPr>
              <w:t>碎石探针</w:t>
            </w:r>
          </w:p>
        </w:tc>
        <w:tc>
          <w:tcPr>
            <w:tcW w:w="811" w:type="pct"/>
            <w:vAlign w:val="center"/>
          </w:tcPr>
          <w:p w14:paraId="37BE0C2D">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4"/>
                <w:szCs w:val="24"/>
                <w:highlight w:val="none"/>
                <w:lang w:val="en-US" w:eastAsia="zh-CN"/>
              </w:rPr>
              <w:t>5750.00</w:t>
            </w:r>
          </w:p>
        </w:tc>
        <w:tc>
          <w:tcPr>
            <w:tcW w:w="812" w:type="pct"/>
            <w:vAlign w:val="center"/>
          </w:tcPr>
          <w:p w14:paraId="093778F6">
            <w:pPr>
              <w:keepNext w:val="0"/>
              <w:keepLines w:val="0"/>
              <w:widowControl/>
              <w:suppressLineNumbers w:val="0"/>
              <w:jc w:val="center"/>
              <w:textAlignment w:val="center"/>
              <w:rPr>
                <w:rFonts w:hint="eastAsia" w:ascii="仿宋" w:hAnsi="仿宋" w:eastAsia="仿宋" w:cs="仿宋"/>
                <w:sz w:val="22"/>
                <w:szCs w:val="28"/>
                <w:highlight w:val="none"/>
                <w:lang w:val="en-US" w:eastAsia="zh-CN"/>
              </w:rPr>
            </w:pPr>
            <w:r>
              <w:rPr>
                <w:rFonts w:hint="eastAsia" w:ascii="仿宋" w:hAnsi="仿宋" w:eastAsia="仿宋" w:cs="仿宋"/>
                <w:sz w:val="24"/>
                <w:szCs w:val="24"/>
                <w:highlight w:val="none"/>
                <w:lang w:val="en-US" w:eastAsia="zh-CN"/>
              </w:rPr>
              <w:t>个</w:t>
            </w:r>
          </w:p>
        </w:tc>
        <w:tc>
          <w:tcPr>
            <w:tcW w:w="812" w:type="pct"/>
            <w:vAlign w:val="center"/>
          </w:tcPr>
          <w:p w14:paraId="3417E880">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20</w:t>
            </w:r>
          </w:p>
        </w:tc>
        <w:tc>
          <w:tcPr>
            <w:tcW w:w="812" w:type="pct"/>
            <w:vAlign w:val="center"/>
          </w:tcPr>
          <w:p w14:paraId="556E1E2B">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4"/>
                <w:szCs w:val="24"/>
                <w:highlight w:val="none"/>
                <w:lang w:val="en-US" w:eastAsia="zh-CN"/>
              </w:rPr>
              <w:t>115000.00</w:t>
            </w:r>
          </w:p>
        </w:tc>
      </w:tr>
      <w:tr w14:paraId="18BFFF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1" w:hRule="atLeast"/>
          <w:jc w:val="center"/>
        </w:trPr>
        <w:tc>
          <w:tcPr>
            <w:tcW w:w="5000" w:type="pct"/>
            <w:gridSpan w:val="7"/>
            <w:vAlign w:val="center"/>
          </w:tcPr>
          <w:p w14:paraId="6B8BCC97">
            <w:pPr>
              <w:keepNext w:val="0"/>
              <w:keepLines w:val="0"/>
              <w:widowControl/>
              <w:suppressLineNumbers w:val="0"/>
              <w:jc w:val="left"/>
              <w:textAlignment w:val="center"/>
              <w:rPr>
                <w:rFonts w:hint="default" w:ascii="仿宋" w:hAnsi="仿宋" w:eastAsia="仿宋" w:cs="仿宋"/>
                <w:sz w:val="24"/>
                <w:szCs w:val="24"/>
                <w:highlight w:val="none"/>
                <w:lang w:val="en-US" w:eastAsia="zh-CN"/>
              </w:rPr>
            </w:pPr>
            <w:r>
              <w:rPr>
                <w:rFonts w:hint="eastAsia" w:ascii="仿宋" w:hAnsi="仿宋" w:eastAsia="仿宋" w:cs="仿宋"/>
                <w:sz w:val="22"/>
                <w:szCs w:val="22"/>
                <w:highlight w:val="none"/>
                <w:lang w:val="en-US" w:eastAsia="zh-CN"/>
              </w:rPr>
              <w:t>注：本项目货物均为按需采购，据实结算。</w:t>
            </w:r>
          </w:p>
        </w:tc>
      </w:tr>
    </w:tbl>
    <w:p w14:paraId="09428241">
      <w:pPr>
        <w:pStyle w:val="6"/>
        <w:ind w:firstLine="480"/>
        <w:jc w:val="left"/>
        <w:rPr>
          <w:rFonts w:hint="eastAsia" w:ascii="仿宋" w:hAnsi="仿宋" w:eastAsia="仿宋" w:cs="仿宋"/>
          <w:highlight w:val="none"/>
        </w:rPr>
      </w:pPr>
    </w:p>
    <w:p w14:paraId="4B16801B">
      <w:pPr>
        <w:pStyle w:val="6"/>
        <w:ind w:firstLine="480"/>
        <w:jc w:val="left"/>
        <w:rPr>
          <w:rFonts w:hint="eastAsia" w:ascii="仿宋" w:hAnsi="仿宋" w:eastAsia="仿宋" w:cs="仿宋"/>
          <w:highlight w:val="none"/>
        </w:rPr>
      </w:pPr>
      <w:r>
        <w:rPr>
          <w:rFonts w:hint="eastAsia" w:ascii="仿宋" w:hAnsi="仿宋" w:eastAsia="仿宋" w:cs="仿宋"/>
          <w:highlight w:val="none"/>
        </w:rPr>
        <w:t>★注：</w:t>
      </w:r>
      <w:r>
        <w:rPr>
          <w:rFonts w:hint="eastAsia" w:ascii="仿宋" w:hAnsi="仿宋" w:eastAsia="仿宋" w:cs="仿宋"/>
          <w:highlight w:val="none"/>
          <w:lang w:eastAsia="zh-CN"/>
        </w:rPr>
        <w:t>竞选人</w:t>
      </w:r>
      <w:r>
        <w:rPr>
          <w:rFonts w:hint="eastAsia" w:ascii="仿宋" w:hAnsi="仿宋" w:eastAsia="仿宋" w:cs="仿宋"/>
          <w:highlight w:val="none"/>
        </w:rPr>
        <w:t>响应产品应当明确品牌和规格型号并指向唯一产品，不能指向唯一产品的，应通过报价表唯一产品说明栏补充说明。</w:t>
      </w:r>
    </w:p>
    <w:p w14:paraId="69A79D78">
      <w:pPr>
        <w:pStyle w:val="6"/>
        <w:jc w:val="left"/>
        <w:rPr>
          <w:rFonts w:hint="eastAsia" w:ascii="仿宋" w:hAnsi="仿宋" w:eastAsia="仿宋" w:cs="仿宋"/>
          <w:highlight w:val="none"/>
        </w:rPr>
      </w:pPr>
    </w:p>
    <w:p w14:paraId="6B7B565E">
      <w:pPr>
        <w:pStyle w:val="6"/>
        <w:jc w:val="left"/>
        <w:outlineLvl w:val="1"/>
        <w:rPr>
          <w:rFonts w:hint="eastAsia" w:ascii="仿宋" w:hAnsi="仿宋" w:eastAsia="仿宋" w:cs="仿宋"/>
          <w:b/>
          <w:bCs w:val="0"/>
          <w:highlight w:val="none"/>
          <w:lang w:eastAsia="zh-CN"/>
        </w:rPr>
      </w:pPr>
      <w:r>
        <w:rPr>
          <w:rFonts w:hint="eastAsia" w:ascii="仿宋" w:hAnsi="仿宋" w:eastAsia="仿宋" w:cs="仿宋"/>
          <w:b/>
          <w:bCs w:val="0"/>
          <w:sz w:val="28"/>
          <w:highlight w:val="none"/>
        </w:rPr>
        <w:t>3.2.技术要求</w:t>
      </w:r>
    </w:p>
    <w:p w14:paraId="7A4B2D11">
      <w:pPr>
        <w:pStyle w:val="6"/>
        <w:jc w:val="left"/>
        <w:outlineLvl w:val="2"/>
        <w:rPr>
          <w:rFonts w:hint="eastAsia" w:ascii="仿宋" w:hAnsi="仿宋" w:eastAsia="仿宋" w:cs="仿宋"/>
          <w:b/>
          <w:bCs/>
          <w:sz w:val="22"/>
          <w:szCs w:val="22"/>
          <w:highlight w:val="none"/>
        </w:rPr>
      </w:pPr>
      <w:r>
        <w:rPr>
          <w:rFonts w:hint="eastAsia" w:ascii="仿宋" w:hAnsi="仿宋" w:eastAsia="仿宋" w:cs="仿宋"/>
          <w:b/>
          <w:bCs/>
          <w:sz w:val="22"/>
          <w:szCs w:val="22"/>
          <w:highlight w:val="none"/>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21"/>
        <w:gridCol w:w="1656"/>
        <w:gridCol w:w="3296"/>
        <w:gridCol w:w="1650"/>
        <w:gridCol w:w="1377"/>
      </w:tblGrid>
      <w:tr w14:paraId="2EE7F1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17" w:hRule="atLeast"/>
        </w:trPr>
        <w:tc>
          <w:tcPr>
            <w:tcW w:w="521" w:type="dxa"/>
            <w:vAlign w:val="center"/>
          </w:tcPr>
          <w:p w14:paraId="54972785">
            <w:pPr>
              <w:pStyle w:val="6"/>
              <w:jc w:val="center"/>
              <w:rPr>
                <w:rFonts w:hint="eastAsia" w:ascii="仿宋" w:hAnsi="仿宋" w:eastAsia="仿宋" w:cs="仿宋"/>
                <w:highlight w:val="none"/>
              </w:rPr>
            </w:pPr>
            <w:r>
              <w:rPr>
                <w:rFonts w:hint="eastAsia" w:ascii="仿宋" w:hAnsi="仿宋" w:eastAsia="仿宋" w:cs="仿宋"/>
                <w:highlight w:val="none"/>
              </w:rPr>
              <w:t>序号</w:t>
            </w:r>
          </w:p>
        </w:tc>
        <w:tc>
          <w:tcPr>
            <w:tcW w:w="1656" w:type="dxa"/>
            <w:vAlign w:val="center"/>
          </w:tcPr>
          <w:p w14:paraId="2C2AE18B">
            <w:pPr>
              <w:pStyle w:val="6"/>
              <w:jc w:val="center"/>
              <w:rPr>
                <w:rFonts w:hint="eastAsia" w:ascii="仿宋" w:hAnsi="仿宋" w:eastAsia="仿宋" w:cs="仿宋"/>
                <w:highlight w:val="none"/>
              </w:rPr>
            </w:pPr>
            <w:r>
              <w:rPr>
                <w:rFonts w:hint="eastAsia" w:ascii="仿宋" w:hAnsi="仿宋" w:eastAsia="仿宋" w:cs="仿宋"/>
                <w:highlight w:val="none"/>
                <w:lang w:val="en-US" w:eastAsia="zh-CN"/>
              </w:rPr>
              <w:t>标的名称</w:t>
            </w:r>
          </w:p>
        </w:tc>
        <w:tc>
          <w:tcPr>
            <w:tcW w:w="3296" w:type="dxa"/>
            <w:vAlign w:val="center"/>
          </w:tcPr>
          <w:p w14:paraId="04DB547A">
            <w:pPr>
              <w:pStyle w:val="6"/>
              <w:jc w:val="center"/>
              <w:rPr>
                <w:rFonts w:hint="eastAsia" w:ascii="仿宋" w:hAnsi="仿宋" w:eastAsia="仿宋" w:cs="仿宋"/>
                <w:highlight w:val="none"/>
              </w:rPr>
            </w:pPr>
            <w:r>
              <w:rPr>
                <w:rFonts w:hint="eastAsia" w:ascii="仿宋" w:hAnsi="仿宋" w:eastAsia="仿宋" w:cs="仿宋"/>
                <w:highlight w:val="none"/>
              </w:rPr>
              <w:t>★</w:t>
            </w:r>
            <w:r>
              <w:rPr>
                <w:rFonts w:hint="eastAsia" w:ascii="仿宋" w:hAnsi="仿宋" w:eastAsia="仿宋" w:cs="仿宋"/>
                <w:highlight w:val="none"/>
                <w:lang w:val="en-US" w:eastAsia="zh-CN"/>
              </w:rPr>
              <w:t>用途</w:t>
            </w:r>
          </w:p>
        </w:tc>
        <w:tc>
          <w:tcPr>
            <w:tcW w:w="1650" w:type="dxa"/>
            <w:vAlign w:val="center"/>
          </w:tcPr>
          <w:p w14:paraId="5CE7D428">
            <w:pPr>
              <w:pStyle w:val="6"/>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参考型号</w:t>
            </w:r>
          </w:p>
        </w:tc>
        <w:tc>
          <w:tcPr>
            <w:tcW w:w="1377" w:type="dxa"/>
            <w:vAlign w:val="center"/>
          </w:tcPr>
          <w:p w14:paraId="45E542BC">
            <w:pPr>
              <w:pStyle w:val="6"/>
              <w:jc w:val="center"/>
              <w:rPr>
                <w:rFonts w:hint="eastAsia" w:ascii="仿宋" w:hAnsi="仿宋" w:eastAsia="仿宋" w:cs="仿宋"/>
                <w:highlight w:val="none"/>
                <w:lang w:val="en-US" w:eastAsia="zh-CN"/>
              </w:rPr>
            </w:pPr>
            <w:r>
              <w:rPr>
                <w:rFonts w:hint="eastAsia" w:ascii="仿宋" w:hAnsi="仿宋" w:eastAsia="仿宋" w:cs="仿宋"/>
                <w:highlight w:val="none"/>
              </w:rPr>
              <w:t>★</w:t>
            </w:r>
            <w:r>
              <w:rPr>
                <w:rFonts w:hint="eastAsia" w:ascii="仿宋" w:hAnsi="仿宋" w:eastAsia="仿宋" w:cs="仿宋"/>
                <w:highlight w:val="none"/>
                <w:lang w:val="en-US" w:eastAsia="zh-CN"/>
              </w:rPr>
              <w:t>是否提供样品</w:t>
            </w:r>
          </w:p>
        </w:tc>
      </w:tr>
      <w:tr w14:paraId="73FD9F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32" w:hRule="atLeast"/>
        </w:trPr>
        <w:tc>
          <w:tcPr>
            <w:tcW w:w="521" w:type="dxa"/>
            <w:vAlign w:val="center"/>
          </w:tcPr>
          <w:p w14:paraId="1DC819CB">
            <w:pPr>
              <w:pStyle w:val="6"/>
              <w:jc w:val="center"/>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1</w:t>
            </w:r>
          </w:p>
        </w:tc>
        <w:tc>
          <w:tcPr>
            <w:tcW w:w="1656" w:type="dxa"/>
            <w:vAlign w:val="center"/>
          </w:tcPr>
          <w:p w14:paraId="5AC7BACF">
            <w:pPr>
              <w:keepNext w:val="0"/>
              <w:keepLines w:val="0"/>
              <w:widowControl/>
              <w:suppressLineNumbers w:val="0"/>
              <w:jc w:val="center"/>
              <w:textAlignment w:val="center"/>
              <w:rPr>
                <w:rFonts w:hint="default" w:ascii="仿宋" w:hAnsi="仿宋" w:eastAsia="仿宋" w:cs="仿宋"/>
                <w:sz w:val="22"/>
                <w:szCs w:val="28"/>
                <w:highlight w:val="none"/>
                <w:lang w:val="en-US"/>
              </w:rPr>
            </w:pPr>
            <w:r>
              <w:rPr>
                <w:rFonts w:hint="eastAsia" w:ascii="仿宋" w:hAnsi="仿宋" w:eastAsia="仿宋" w:cs="仿宋"/>
                <w:b w:val="0"/>
                <w:bCs w:val="0"/>
                <w:color w:val="auto"/>
                <w:sz w:val="18"/>
                <w:szCs w:val="18"/>
                <w:highlight w:val="none"/>
                <w:shd w:val="clear" w:color="auto" w:fill="auto"/>
                <w:lang w:val="en-US" w:eastAsia="zh-CN"/>
              </w:rPr>
              <w:t>碎石探针</w:t>
            </w:r>
          </w:p>
        </w:tc>
        <w:tc>
          <w:tcPr>
            <w:tcW w:w="3296" w:type="dxa"/>
            <w:vAlign w:val="center"/>
          </w:tcPr>
          <w:p w14:paraId="48061FA0">
            <w:pPr>
              <w:numPr>
                <w:ilvl w:val="0"/>
                <w:numId w:val="1"/>
              </w:numPr>
              <w:spacing w:line="400" w:lineRule="exact"/>
              <w:jc w:val="left"/>
              <w:rPr>
                <w:rFonts w:hint="eastAsia"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en-US" w:eastAsia="zh-CN"/>
              </w:rPr>
              <w:t>适应症/用途：用于气压弹道碎石使用；</w:t>
            </w:r>
          </w:p>
          <w:p w14:paraId="1B0FA1FA">
            <w:pPr>
              <w:numPr>
                <w:ilvl w:val="0"/>
                <w:numId w:val="1"/>
              </w:numPr>
              <w:spacing w:line="400" w:lineRule="exact"/>
              <w:jc w:val="left"/>
              <w:rPr>
                <w:rFonts w:hint="eastAsia" w:ascii="仿宋" w:hAnsi="仿宋" w:eastAsia="仿宋" w:cs="仿宋"/>
                <w:kern w:val="0"/>
                <w:sz w:val="20"/>
                <w:szCs w:val="20"/>
                <w:highlight w:val="none"/>
                <w:lang w:val="en-US" w:eastAsia="zh-CN"/>
              </w:rPr>
            </w:pPr>
            <w:r>
              <w:rPr>
                <w:rFonts w:hint="default" w:ascii="仿宋" w:hAnsi="仿宋" w:eastAsia="仿宋" w:cs="仿宋"/>
                <w:kern w:val="0"/>
                <w:sz w:val="20"/>
                <w:szCs w:val="20"/>
                <w:highlight w:val="none"/>
                <w:lang w:val="en-US" w:eastAsia="zh-CN"/>
              </w:rPr>
              <w:t>适配机型</w:t>
            </w:r>
            <w:r>
              <w:rPr>
                <w:rFonts w:hint="eastAsia" w:ascii="仿宋" w:hAnsi="仿宋" w:eastAsia="仿宋" w:cs="仿宋"/>
                <w:kern w:val="0"/>
                <w:sz w:val="20"/>
                <w:szCs w:val="20"/>
                <w:highlight w:val="none"/>
                <w:lang w:val="en-US" w:eastAsia="zh-CN"/>
              </w:rPr>
              <w:t>：EMS第四代超声联合气压弹道碎石清石系统；</w:t>
            </w:r>
          </w:p>
        </w:tc>
        <w:tc>
          <w:tcPr>
            <w:tcW w:w="1650" w:type="dxa"/>
            <w:vAlign w:val="center"/>
          </w:tcPr>
          <w:p w14:paraId="10F411B9">
            <w:pPr>
              <w:keepNext w:val="0"/>
              <w:keepLines w:val="0"/>
              <w:widowControl/>
              <w:suppressLineNumbers w:val="0"/>
              <w:jc w:val="left"/>
              <w:textAlignment w:val="center"/>
              <w:rPr>
                <w:rFonts w:hint="default" w:ascii="仿宋" w:hAnsi="仿宋" w:eastAsia="仿宋" w:cs="仿宋"/>
                <w:kern w:val="0"/>
                <w:sz w:val="20"/>
                <w:szCs w:val="20"/>
                <w:highlight w:val="none"/>
                <w:lang w:val="en-US" w:eastAsia="zh-CN"/>
              </w:rPr>
            </w:pPr>
            <w:r>
              <w:rPr>
                <w:rFonts w:hint="default" w:ascii="仿宋" w:hAnsi="仿宋" w:eastAsia="仿宋" w:cs="仿宋"/>
                <w:kern w:val="0"/>
                <w:sz w:val="20"/>
                <w:szCs w:val="20"/>
                <w:highlight w:val="none"/>
                <w:lang w:val="en-US" w:eastAsia="zh-CN"/>
              </w:rPr>
              <w:t>请提供粗</w:t>
            </w:r>
            <w:r>
              <w:rPr>
                <w:rFonts w:hint="eastAsia" w:ascii="仿宋" w:hAnsi="仿宋" w:eastAsia="仿宋" w:cs="仿宋"/>
                <w:kern w:val="0"/>
                <w:sz w:val="20"/>
                <w:szCs w:val="20"/>
                <w:highlight w:val="none"/>
                <w:lang w:val="en-US" w:eastAsia="zh-CN"/>
              </w:rPr>
              <w:t>、</w:t>
            </w:r>
            <w:r>
              <w:rPr>
                <w:rFonts w:hint="default" w:ascii="仿宋" w:hAnsi="仿宋" w:eastAsia="仿宋" w:cs="仿宋"/>
                <w:kern w:val="0"/>
                <w:sz w:val="20"/>
                <w:szCs w:val="20"/>
                <w:highlight w:val="none"/>
                <w:lang w:val="en-US" w:eastAsia="zh-CN"/>
              </w:rPr>
              <w:t>细两个规格。</w:t>
            </w:r>
          </w:p>
        </w:tc>
        <w:tc>
          <w:tcPr>
            <w:tcW w:w="1377" w:type="dxa"/>
            <w:vAlign w:val="center"/>
          </w:tcPr>
          <w:p w14:paraId="76E58670">
            <w:pPr>
              <w:keepNext w:val="0"/>
              <w:keepLines w:val="0"/>
              <w:widowControl/>
              <w:suppressLineNumbers w:val="0"/>
              <w:jc w:val="center"/>
              <w:textAlignment w:val="center"/>
              <w:rPr>
                <w:rFonts w:hint="default" w:ascii="仿宋" w:hAnsi="仿宋" w:eastAsia="仿宋" w:cs="仿宋"/>
                <w:sz w:val="22"/>
                <w:szCs w:val="28"/>
                <w:highlight w:val="none"/>
                <w:lang w:val="en-US" w:eastAsia="zh-CN"/>
              </w:rPr>
            </w:pPr>
            <w:r>
              <w:rPr>
                <w:rFonts w:hint="eastAsia" w:ascii="仿宋" w:hAnsi="仿宋" w:eastAsia="仿宋" w:cs="仿宋"/>
                <w:sz w:val="22"/>
                <w:szCs w:val="28"/>
                <w:highlight w:val="none"/>
                <w:lang w:val="en-US" w:eastAsia="zh-CN"/>
              </w:rPr>
              <w:t>是</w:t>
            </w:r>
          </w:p>
        </w:tc>
      </w:tr>
    </w:tbl>
    <w:p w14:paraId="66CAA42C">
      <w:pPr>
        <w:pStyle w:val="6"/>
        <w:jc w:val="left"/>
        <w:outlineLvl w:val="9"/>
        <w:rPr>
          <w:rFonts w:hint="eastAsia" w:ascii="仿宋" w:hAnsi="仿宋" w:eastAsia="仿宋" w:cs="仿宋"/>
          <w:color w:val="auto"/>
          <w:kern w:val="2"/>
          <w:sz w:val="24"/>
          <w:szCs w:val="24"/>
          <w:highlight w:val="none"/>
          <w:shd w:val="clear" w:color="auto" w:fill="auto"/>
          <w:lang w:val="en-US" w:eastAsia="zh-CN" w:bidi="ar-SA"/>
        </w:rPr>
      </w:pPr>
    </w:p>
    <w:p w14:paraId="2E8912C5">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w:t>
      </w:r>
      <w:r>
        <w:rPr>
          <w:rFonts w:hint="eastAsia" w:ascii="仿宋" w:hAnsi="仿宋" w:eastAsia="仿宋" w:cs="仿宋"/>
          <w:b/>
          <w:sz w:val="28"/>
          <w:highlight w:val="none"/>
        </w:rPr>
        <w:t>3.3.</w:t>
      </w:r>
      <w:r>
        <w:rPr>
          <w:rFonts w:hint="eastAsia" w:ascii="仿宋" w:hAnsi="仿宋" w:eastAsia="仿宋" w:cs="仿宋"/>
          <w:b/>
          <w:sz w:val="28"/>
          <w:highlight w:val="none"/>
          <w:lang w:val="en-US" w:eastAsia="zh-CN"/>
        </w:rPr>
        <w:t>样品要求</w:t>
      </w:r>
    </w:p>
    <w:p w14:paraId="1F7D9B3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1.必须提供样品，以供评审专家现场评审。</w:t>
      </w:r>
    </w:p>
    <w:p w14:paraId="1CE4281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2.提交的样品不符合实际需求或存在原理错误则视为无效响应。</w:t>
      </w:r>
    </w:p>
    <w:p w14:paraId="1E59F41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3.本项目投标人提供的样品，应与该投标人响应文件保持一致（具体参考《医疗器械说明书和标签管理规定》）。</w:t>
      </w:r>
    </w:p>
    <w:p w14:paraId="04F6A5C5">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sz w:val="28"/>
          <w:highlight w:val="none"/>
          <w:lang w:val="en-US" w:eastAsia="zh-CN"/>
        </w:rPr>
      </w:pPr>
      <w:r>
        <w:rPr>
          <w:rFonts w:hint="eastAsia" w:ascii="仿宋" w:hAnsi="仿宋" w:eastAsia="仿宋" w:cs="仿宋"/>
          <w:b/>
          <w:sz w:val="28"/>
          <w:highlight w:val="none"/>
          <w:lang w:val="en-US" w:eastAsia="zh-CN"/>
        </w:rPr>
        <w:t>★3.4.商务要求</w:t>
      </w:r>
    </w:p>
    <w:p w14:paraId="52313552">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1.交货期及地点</w:t>
      </w:r>
    </w:p>
    <w:p w14:paraId="131E88F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（1）交货期：每次配送时间必须严格按照采购人配送通知执行，中标人应于收到通知后2小时内响应。急救耗材的配送时间不应超过4小时，一般耗材原则上的配送时间不应超过2个工作日。</w:t>
      </w:r>
    </w:p>
    <w:p w14:paraId="01B91E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sz w:val="24"/>
          <w:szCs w:val="24"/>
          <w:highlight w:val="none"/>
          <w:lang w:val="en-US" w:eastAsia="zh-CN"/>
        </w:rPr>
      </w:pPr>
      <w:r>
        <w:rPr>
          <w:rFonts w:hint="eastAsia" w:ascii="仿宋" w:hAnsi="仿宋" w:eastAsia="仿宋" w:cs="仿宋"/>
          <w:color w:val="000000"/>
          <w:sz w:val="24"/>
          <w:szCs w:val="24"/>
          <w:highlight w:val="none"/>
          <w:lang w:val="en-US" w:eastAsia="zh-CN"/>
        </w:rPr>
        <w:t>（2）交货地点：内江市第一人民医院指定地点。</w:t>
      </w:r>
    </w:p>
    <w:p w14:paraId="30FE2E31">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2.付款方法和条件</w:t>
      </w:r>
    </w:p>
    <w:p w14:paraId="509E2D8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000000"/>
          <w:kern w:val="2"/>
          <w:sz w:val="24"/>
          <w:szCs w:val="24"/>
          <w:highlight w:val="none"/>
          <w:lang w:val="en-US" w:eastAsia="zh-CN" w:bidi="ar-SA"/>
        </w:rPr>
      </w:pPr>
      <w:r>
        <w:rPr>
          <w:rFonts w:hint="eastAsia" w:ascii="仿宋" w:hAnsi="仿宋" w:eastAsia="仿宋" w:cs="仿宋"/>
          <w:b w:val="0"/>
          <w:bCs w:val="0"/>
          <w:color w:val="000000"/>
          <w:kern w:val="2"/>
          <w:sz w:val="24"/>
          <w:szCs w:val="24"/>
          <w:highlight w:val="none"/>
          <w:lang w:val="en-US" w:eastAsia="zh-CN" w:bidi="ar-SA"/>
        </w:rPr>
        <w:t>（1）结算方式：货款按实结算且由双方协商决定。</w:t>
      </w:r>
    </w:p>
    <w:p w14:paraId="48B3B66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000000"/>
          <w:kern w:val="2"/>
          <w:sz w:val="24"/>
          <w:szCs w:val="24"/>
          <w:highlight w:val="none"/>
          <w:lang w:val="en-US" w:eastAsia="zh-CN" w:bidi="ar-SA"/>
        </w:rPr>
      </w:pPr>
      <w:r>
        <w:rPr>
          <w:rFonts w:hint="eastAsia" w:ascii="仿宋" w:hAnsi="仿宋" w:eastAsia="仿宋" w:cs="仿宋"/>
          <w:b w:val="0"/>
          <w:bCs w:val="0"/>
          <w:color w:val="000000"/>
          <w:kern w:val="2"/>
          <w:sz w:val="24"/>
          <w:szCs w:val="24"/>
          <w:highlight w:val="none"/>
          <w:lang w:val="en-US" w:eastAsia="zh-CN" w:bidi="ar-SA"/>
        </w:rPr>
        <w:t>（2）成交价格包含成本、运输、包装、培训、配送、伴随服务、税费及其他附加费用。</w:t>
      </w:r>
    </w:p>
    <w:p w14:paraId="3CBDA7D3">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3.医用耗材质量保证</w:t>
      </w:r>
    </w:p>
    <w:p w14:paraId="04231CB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（1）中标人须提供原厂生产的未曾使用过的、全新的合格的货品（含配套配件等），表面无划伤、无破损痕迹，且权属清楚，不得侵害他人的合法权利。</w:t>
      </w:r>
    </w:p>
    <w:p w14:paraId="4A3743A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中标人所提供货品须符合或优于国家（行业）标准、本项目招标文件要求及投标文件响应内容。当投标文件响应内容与招标文件要求不一致时，以投标文件响应内容为准。当投标文件响应内容与国家标准、行业标准（若有）不一致时，以较高标准为准。</w:t>
      </w:r>
    </w:p>
    <w:p w14:paraId="2D37735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（3）中标人提供货品的设计技术专利、外形专利等均应符合我国有关法律法规及行业标准，凡因以上问题与第三方发生的任何纠纷，由中标人承担全部责任，</w:t>
      </w:r>
      <w:r>
        <w:rPr>
          <w:rFonts w:hint="eastAsia" w:ascii="仿宋" w:hAnsi="仿宋" w:eastAsia="仿宋" w:cs="仿宋"/>
          <w:color w:val="000000"/>
          <w:sz w:val="24"/>
          <w:szCs w:val="24"/>
          <w:highlight w:val="none"/>
          <w:lang w:val="en-US" w:eastAsia="zh-Hans"/>
        </w:rPr>
        <w:t>中标人还应</w:t>
      </w:r>
      <w:r>
        <w:rPr>
          <w:rFonts w:hint="eastAsia" w:ascii="仿宋" w:hAnsi="仿宋" w:eastAsia="仿宋" w:cs="仿宋"/>
          <w:color w:val="000000"/>
          <w:sz w:val="24"/>
          <w:szCs w:val="24"/>
          <w:highlight w:val="none"/>
        </w:rPr>
        <w:t>负责赔偿</w:t>
      </w:r>
      <w:r>
        <w:rPr>
          <w:rFonts w:hint="eastAsia" w:ascii="仿宋" w:hAnsi="仿宋" w:eastAsia="仿宋" w:cs="仿宋"/>
          <w:color w:val="000000"/>
          <w:sz w:val="24"/>
          <w:szCs w:val="24"/>
          <w:highlight w:val="none"/>
          <w:lang w:val="en-US" w:eastAsia="zh-CN"/>
        </w:rPr>
        <w:t>采购人</w:t>
      </w:r>
      <w:r>
        <w:rPr>
          <w:rFonts w:hint="eastAsia" w:ascii="仿宋" w:hAnsi="仿宋" w:eastAsia="仿宋" w:cs="仿宋"/>
          <w:color w:val="000000"/>
          <w:sz w:val="24"/>
          <w:szCs w:val="24"/>
          <w:highlight w:val="none"/>
        </w:rPr>
        <w:t>由此而遭受的全部损失。</w:t>
      </w:r>
    </w:p>
    <w:p w14:paraId="2AA1527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（4）中标人保证其提供货品的安全可靠性。在正常使用下不应对使用者造成任何人身伤害，如因产品质量或标示不明确而对使用者造成损失的，由中标人承担相应责任。</w:t>
      </w:r>
    </w:p>
    <w:p w14:paraId="0D9879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中标人应保证所供耗材原产地真实，医用耗材是全新的、未使用过的，质量符合国家标准（在无国家标准时，符合行业标准），不得以假充真，以次充好，确保临床医疗安全。如出现质量问题，中标人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6A424A1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（6）中标人保证所供耗材有效期不低于1年，自通过最终验收之日起，确保采购人在使用耗材的过程中安全、有效。</w:t>
      </w:r>
    </w:p>
    <w:p w14:paraId="0C9501A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4.验收</w:t>
      </w:r>
    </w:p>
    <w:p w14:paraId="26CEB0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按照《财政部关于进一步加强政府采购需求和履约验收管理的指导意见》（财库〔2016〕205号）的要求以及采购人招标文件的质量要求和技术指标、中标人的投标文件及承诺（若有）、国家（行业）标准、采购合同约定标准进行验收；</w:t>
      </w:r>
    </w:p>
    <w:p w14:paraId="1C5A23A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验收时如发现所交付的货物有短装、次品、损坏或其他不符合验收标准的，采购人应做出详尽的现场记录，此现场记录或备忘录可用作补充、缺失和更换损坏部件的有效证据，由此产生的时间延误与有关费用由中标人承担，验收期限相应顺延；</w:t>
      </w:r>
    </w:p>
    <w:p w14:paraId="10E3480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若所提供货物不符合验收标准，中标人经过2次维修或2次调换后仍不能达到验收质量标准，则视为验收不合格，采购人有权全部（或部分）退货或解除合同。接到采购人退货通知，中标人除应及时运走采购人退还的货物外（若涉及费用或损失均由中标人自行承担），还应向采购人承担相应的违约责任。</w:t>
      </w:r>
    </w:p>
    <w:p w14:paraId="1A7A75D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（4）其他未尽事宜严格按照《财政部关于进一步加强政府采购需求和履约验收管理的指导意见》（财库〔2016〕205号）的要求进行。</w:t>
      </w:r>
    </w:p>
    <w:p w14:paraId="1519895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5.售后服务</w:t>
      </w:r>
    </w:p>
    <w:p w14:paraId="73AC6BE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要求中标人必须严格按照招标文件要求和投标文件中的承诺提供配送服务。如果配送的医用耗材规格、包装等信息与中标产品的规格、包装等信息不一致并不同意更换的，或配送的医用耗材和中标产品不一致的，采购人有权终止合同。</w:t>
      </w:r>
    </w:p>
    <w:p w14:paraId="44128CC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（2）要求中标人指派专人负责与采购人联系售后服务事宜；在投标文件中列明售后联系人及联系电话。</w:t>
      </w:r>
    </w:p>
    <w:p w14:paraId="765B5D4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要求中标人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622702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（4）耗材临近失效期，采购人提前三个月向中标人提出更换，中标人须在耗材失效前一个月更换完毕，不得以任何理由进行推诿。</w:t>
      </w:r>
    </w:p>
    <w:p w14:paraId="63D8D02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（5）中标人必须随货提供其具备医疗器械经营企业的有关合法有效的手续（包括但不限于）：</w:t>
      </w:r>
    </w:p>
    <w:p w14:paraId="797544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1).产品所涉及逐级授权经销商的医疗器械生产（经营）许可证或生产（经营）企业备案表；</w:t>
      </w:r>
    </w:p>
    <w:p w14:paraId="3BE105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2).医疗器械产品注册证或备案凭证；</w:t>
      </w:r>
    </w:p>
    <w:p w14:paraId="40F57E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3).医疗器械生产企业许可证；</w:t>
      </w:r>
    </w:p>
    <w:p w14:paraId="142AF9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4).经销商获得的委托授权书（逐级）；</w:t>
      </w:r>
    </w:p>
    <w:p w14:paraId="344961F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5).产品所涉及逐级授权经销商的企业法人营业执照。</w:t>
      </w:r>
    </w:p>
    <w:p w14:paraId="326DB1E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6).采购人要求提供的相关资料。</w:t>
      </w:r>
    </w:p>
    <w:p w14:paraId="1F7761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中标人或厂家原因无法按上述要求执行的，则采购人可以解除与中标人在成交合同中对该产品的采购相关约定。</w:t>
      </w:r>
    </w:p>
    <w:p w14:paraId="67A6A1D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 xml:space="preserve">6.包装和运输 </w:t>
      </w:r>
    </w:p>
    <w:p w14:paraId="05A9EE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（1）成交投标人须严格按照《商品包装政府采购需求标准(试行)》、《快递包装政府采购需 求标准(试行)》(财办库〔2020〕123 号)的要求进行产品及相关快递服务的包装。 </w:t>
      </w:r>
    </w:p>
    <w:p w14:paraId="3B7CE8B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（2）投标人应当按照约定的方式交付标的物。对于包装方式没有约定或者约定不明确的，应当按照通用的方式包装；没有通用方式的，应当采取足以保护标的物且有利于节约资源，保护生态环境的包装方式。 </w:t>
      </w:r>
    </w:p>
    <w:p w14:paraId="7922FC68">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r>
        <w:rPr>
          <w:rFonts w:hint="eastAsia" w:ascii="仿宋" w:hAnsi="仿宋" w:eastAsia="仿宋" w:cs="仿宋"/>
          <w:color w:val="000000"/>
          <w:sz w:val="24"/>
          <w:szCs w:val="24"/>
          <w:highlight w:val="none"/>
          <w:lang w:val="en-US" w:eastAsia="zh-CN"/>
        </w:rPr>
        <w:t>（3）本次采购的标的物需要运输，投标人在合同约定的时间内将标的物运输至合同约定地点</w:t>
      </w:r>
      <w:r>
        <w:rPr>
          <w:rFonts w:hint="eastAsia" w:ascii="仿宋" w:hAnsi="仿宋" w:eastAsia="仿宋" w:cs="仿宋"/>
          <w:color w:val="000000"/>
          <w:kern w:val="0"/>
          <w:sz w:val="24"/>
          <w:szCs w:val="24"/>
          <w:highlight w:val="none"/>
          <w:u w:val="none"/>
          <w:lang w:val="en-US" w:eastAsia="zh-CN" w:bidi="ar"/>
        </w:rPr>
        <w:t>。</w:t>
      </w:r>
    </w:p>
    <w:p w14:paraId="2E70E9E9">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000000"/>
          <w:kern w:val="0"/>
          <w:sz w:val="24"/>
          <w:szCs w:val="24"/>
          <w:highlight w:val="none"/>
          <w:u w:val="none"/>
          <w:lang w:val="en-US" w:eastAsia="zh-CN" w:bidi="ar"/>
        </w:rPr>
      </w:pPr>
    </w:p>
    <w:p w14:paraId="15C43C82">
      <w:pPr>
        <w:pStyle w:val="6"/>
        <w:keepNext w:val="0"/>
        <w:keepLines w:val="0"/>
        <w:pageBreakBefore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3.5.合同管理安排</w:t>
      </w:r>
    </w:p>
    <w:p w14:paraId="1B9D7A73">
      <w:pPr>
        <w:pStyle w:val="6"/>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b w:val="0"/>
          <w:bCs w:val="0"/>
          <w:color w:val="000000"/>
          <w:kern w:val="0"/>
          <w:sz w:val="24"/>
          <w:szCs w:val="24"/>
          <w:highlight w:val="none"/>
          <w:u w:val="none"/>
          <w:lang w:val="en-US" w:eastAsia="zh-CN" w:bidi="ar"/>
        </w:rPr>
        <w:t>1.</w:t>
      </w:r>
      <w:r>
        <w:rPr>
          <w:rFonts w:hint="eastAsia" w:ascii="仿宋" w:hAnsi="仿宋" w:eastAsia="仿宋" w:cs="仿宋"/>
          <w:color w:val="auto"/>
          <w:sz w:val="24"/>
          <w:szCs w:val="24"/>
          <w:highlight w:val="none"/>
          <w:shd w:val="clear" w:color="auto" w:fill="auto"/>
        </w:rPr>
        <w:t>合同履行期限：</w:t>
      </w:r>
      <w:r>
        <w:rPr>
          <w:rFonts w:hint="eastAsia" w:ascii="仿宋" w:hAnsi="仿宋" w:eastAsia="仿宋" w:cs="仿宋"/>
          <w:color w:val="auto"/>
          <w:sz w:val="24"/>
          <w:szCs w:val="24"/>
          <w:highlight w:val="none"/>
          <w:shd w:val="clear" w:color="auto" w:fill="auto"/>
          <w:lang w:val="en-US" w:eastAsia="zh-CN"/>
        </w:rPr>
        <w:t>1年</w:t>
      </w:r>
    </w:p>
    <w:p w14:paraId="3AAC9B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合同支付约定：</w:t>
      </w:r>
      <w:r>
        <w:rPr>
          <w:rFonts w:hint="eastAsia" w:ascii="仿宋" w:hAnsi="仿宋" w:eastAsia="仿宋" w:cs="仿宋"/>
          <w:color w:val="auto"/>
          <w:sz w:val="24"/>
          <w:szCs w:val="24"/>
          <w:highlight w:val="none"/>
          <w:u w:val="none"/>
          <w:shd w:val="clear" w:color="auto" w:fill="auto"/>
          <w:lang w:val="en-US" w:eastAsia="zh-CN"/>
        </w:rPr>
        <w:t>双方协商确定</w:t>
      </w:r>
    </w:p>
    <w:p w14:paraId="5FC51E5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违约责任与解决争议的方法：</w:t>
      </w:r>
    </w:p>
    <w:p w14:paraId="6C21A02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违约责任</w:t>
      </w:r>
    </w:p>
    <w:p w14:paraId="0FF5A6F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逾期15日内不能提供</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所需医用耗材的，应向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每日支付该批次货款千分之三的违约金。</w:t>
      </w:r>
    </w:p>
    <w:p w14:paraId="26F207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逾期15日及以上不能交付以上产品的，视同不能供货，须向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支付该批次货款的10%的违约金，同时</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可以单方面解除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w:t>
      </w:r>
    </w:p>
    <w:p w14:paraId="5BAD516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rPr>
        <w:t>若因</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原因造成</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被监管部门通报三次及以上的或者</w:t>
      </w:r>
      <w:r>
        <w:rPr>
          <w:rFonts w:hint="eastAsia" w:ascii="仿宋" w:hAnsi="仿宋" w:eastAsia="仿宋" w:cs="仿宋"/>
          <w:color w:val="auto"/>
          <w:sz w:val="24"/>
          <w:szCs w:val="24"/>
          <w:highlight w:val="none"/>
          <w:shd w:val="clear" w:color="auto" w:fill="auto"/>
          <w:lang w:eastAsia="zh-CN"/>
        </w:rPr>
        <w:t>造成采购人违规采购</w:t>
      </w:r>
      <w:r>
        <w:rPr>
          <w:rFonts w:hint="eastAsia" w:ascii="仿宋" w:hAnsi="仿宋" w:eastAsia="仿宋" w:cs="仿宋"/>
          <w:color w:val="auto"/>
          <w:sz w:val="24"/>
          <w:szCs w:val="24"/>
          <w:highlight w:val="none"/>
          <w:shd w:val="clear" w:color="auto" w:fill="auto"/>
        </w:rPr>
        <w:t>，</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有权单方面解除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w:t>
      </w:r>
      <w:r>
        <w:rPr>
          <w:rFonts w:hint="eastAsia" w:ascii="仿宋" w:hAnsi="仿宋" w:eastAsia="仿宋" w:cs="仿宋"/>
          <w:color w:val="auto"/>
          <w:sz w:val="24"/>
          <w:szCs w:val="24"/>
          <w:highlight w:val="none"/>
          <w:shd w:val="clear" w:color="auto" w:fill="auto"/>
          <w:lang w:eastAsia="zh-CN"/>
        </w:rPr>
        <w:t>同时，采购人有权要求中标人支付该批货物价款</w:t>
      </w:r>
      <w:r>
        <w:rPr>
          <w:rFonts w:hint="eastAsia" w:ascii="仿宋" w:hAnsi="仿宋" w:eastAsia="仿宋" w:cs="仿宋"/>
          <w:color w:val="auto"/>
          <w:sz w:val="24"/>
          <w:szCs w:val="24"/>
          <w:highlight w:val="none"/>
          <w:shd w:val="clear" w:color="auto" w:fill="auto"/>
          <w:lang w:val="en-US" w:eastAsia="zh-CN"/>
        </w:rPr>
        <w:t>20%</w:t>
      </w:r>
      <w:r>
        <w:rPr>
          <w:rFonts w:hint="eastAsia" w:ascii="仿宋" w:hAnsi="仿宋" w:eastAsia="仿宋" w:cs="仿宋"/>
          <w:color w:val="auto"/>
          <w:sz w:val="24"/>
          <w:szCs w:val="24"/>
          <w:highlight w:val="none"/>
          <w:shd w:val="clear" w:color="auto" w:fill="auto"/>
          <w:lang w:eastAsia="zh-CN"/>
        </w:rPr>
        <w:t>的违约金</w:t>
      </w:r>
      <w:r>
        <w:rPr>
          <w:rFonts w:hint="eastAsia" w:ascii="仿宋" w:hAnsi="仿宋" w:eastAsia="仿宋" w:cs="仿宋"/>
          <w:color w:val="auto"/>
          <w:sz w:val="24"/>
          <w:szCs w:val="24"/>
          <w:highlight w:val="none"/>
          <w:shd w:val="clear" w:color="auto" w:fill="auto"/>
        </w:rPr>
        <w:t>。</w:t>
      </w:r>
    </w:p>
    <w:p w14:paraId="435248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销售的产品若发生严重医疗不良事件或被国家法定检测机构检测为不合格产品，视为</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违约导致不能实现</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目的，</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有权单方面解除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，并要求</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限期收回不合格产品，并要求</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需承担合同价款20%的违约金，违约金不足以</w:t>
      </w:r>
      <w:r>
        <w:rPr>
          <w:rFonts w:hint="eastAsia" w:ascii="仿宋" w:hAnsi="仿宋" w:eastAsia="仿宋" w:cs="仿宋"/>
          <w:color w:val="auto"/>
          <w:sz w:val="24"/>
          <w:szCs w:val="24"/>
          <w:highlight w:val="none"/>
          <w:shd w:val="clear" w:color="auto" w:fill="auto"/>
          <w:lang w:val="en-US" w:eastAsia="zh-Hans"/>
        </w:rPr>
        <w:t>弥补</w:t>
      </w:r>
      <w:r>
        <w:rPr>
          <w:rFonts w:hint="eastAsia" w:ascii="仿宋" w:hAnsi="仿宋" w:eastAsia="仿宋" w:cs="仿宋"/>
          <w:color w:val="auto"/>
          <w:sz w:val="24"/>
          <w:szCs w:val="24"/>
          <w:highlight w:val="none"/>
          <w:shd w:val="clear" w:color="auto" w:fill="auto"/>
          <w:lang w:val="en-US" w:eastAsia="zh-CN"/>
        </w:rPr>
        <w:t>采购人</w:t>
      </w:r>
      <w:r>
        <w:rPr>
          <w:rFonts w:hint="eastAsia" w:ascii="仿宋" w:hAnsi="仿宋" w:eastAsia="仿宋" w:cs="仿宋"/>
          <w:color w:val="auto"/>
          <w:sz w:val="24"/>
          <w:szCs w:val="24"/>
          <w:highlight w:val="none"/>
          <w:shd w:val="clear" w:color="auto" w:fill="auto"/>
        </w:rPr>
        <w:t>损失的，</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还应当承</w:t>
      </w:r>
      <w:r>
        <w:rPr>
          <w:rFonts w:hint="eastAsia" w:ascii="仿宋" w:hAnsi="仿宋" w:eastAsia="仿宋" w:cs="仿宋"/>
          <w:color w:val="auto"/>
          <w:sz w:val="24"/>
          <w:szCs w:val="24"/>
          <w:highlight w:val="none"/>
          <w:shd w:val="clear" w:color="auto" w:fill="auto"/>
          <w:lang w:val="en-US" w:eastAsia="zh-Hans"/>
        </w:rPr>
        <w:t>补足</w:t>
      </w:r>
      <w:r>
        <w:rPr>
          <w:rFonts w:hint="eastAsia" w:ascii="仿宋" w:hAnsi="仿宋" w:eastAsia="仿宋" w:cs="仿宋"/>
          <w:color w:val="auto"/>
          <w:sz w:val="24"/>
          <w:szCs w:val="24"/>
          <w:highlight w:val="none"/>
          <w:shd w:val="clear" w:color="auto" w:fill="auto"/>
        </w:rPr>
        <w:t>。</w:t>
      </w:r>
    </w:p>
    <w:p w14:paraId="042915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即使产品已经验收入库（或安装调试完毕）后，</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才发现产品为不合格产品的，也视为</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违约，</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应当承担本条约定的责任。同时</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有权退回库存产品。</w:t>
      </w:r>
    </w:p>
    <w:p w14:paraId="0085373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rPr>
        <w:t>若根据法律规定或本协议约定产生</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退、换货或拒绝收货情形，由</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承担退换货产生的各项税、费或其他支出。</w:t>
      </w:r>
    </w:p>
    <w:p w14:paraId="7EBA21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不能保证及时供货，除应当向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承担违约责任外，</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仍有权单方面解除</w:t>
      </w:r>
      <w:r>
        <w:rPr>
          <w:rFonts w:hint="eastAsia" w:ascii="仿宋" w:hAnsi="仿宋" w:eastAsia="仿宋" w:cs="仿宋"/>
          <w:color w:val="auto"/>
          <w:sz w:val="24"/>
          <w:szCs w:val="24"/>
          <w:highlight w:val="none"/>
          <w:shd w:val="clear" w:color="auto" w:fill="auto"/>
          <w:lang w:eastAsia="zh-CN"/>
        </w:rPr>
        <w:t>采购合同</w:t>
      </w:r>
      <w:r>
        <w:rPr>
          <w:rFonts w:hint="eastAsia" w:ascii="仿宋" w:hAnsi="仿宋" w:eastAsia="仿宋" w:cs="仿宋"/>
          <w:color w:val="auto"/>
          <w:sz w:val="24"/>
          <w:szCs w:val="24"/>
          <w:highlight w:val="none"/>
          <w:shd w:val="clear" w:color="auto" w:fill="auto"/>
        </w:rPr>
        <w:t>。</w:t>
      </w:r>
    </w:p>
    <w:p w14:paraId="3619E65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7</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rPr>
        <w:t>因</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提供的产品不合格造成</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或第三人人身损害或财产损失的，由</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承担赔偿责任。</w:t>
      </w:r>
    </w:p>
    <w:p w14:paraId="5F054B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8</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若因中标人原因造成采购人挂网执行存在问题以及线上支付不及时、造成采购人未挂网采购的或者存在其他问题的，中标人应承担违约责任，且</w:t>
      </w:r>
      <w:r>
        <w:rPr>
          <w:rFonts w:hint="eastAsia" w:ascii="仿宋" w:hAnsi="仿宋" w:eastAsia="仿宋" w:cs="仿宋"/>
          <w:color w:val="auto"/>
          <w:sz w:val="24"/>
          <w:szCs w:val="24"/>
          <w:highlight w:val="none"/>
          <w:shd w:val="clear" w:color="auto" w:fill="auto"/>
          <w:lang w:eastAsia="zh-CN"/>
        </w:rPr>
        <w:t>采购人有权要求中标人支付该批货物价款</w:t>
      </w:r>
      <w:r>
        <w:rPr>
          <w:rFonts w:hint="eastAsia" w:ascii="仿宋" w:hAnsi="仿宋" w:eastAsia="仿宋" w:cs="仿宋"/>
          <w:color w:val="auto"/>
          <w:sz w:val="24"/>
          <w:szCs w:val="24"/>
          <w:highlight w:val="none"/>
          <w:shd w:val="clear" w:color="auto" w:fill="auto"/>
          <w:lang w:val="en-US" w:eastAsia="zh-CN"/>
        </w:rPr>
        <w:t>20%</w:t>
      </w:r>
      <w:r>
        <w:rPr>
          <w:rFonts w:hint="eastAsia" w:ascii="仿宋" w:hAnsi="仿宋" w:eastAsia="仿宋" w:cs="仿宋"/>
          <w:color w:val="auto"/>
          <w:sz w:val="24"/>
          <w:szCs w:val="24"/>
          <w:highlight w:val="none"/>
          <w:shd w:val="clear" w:color="auto" w:fill="auto"/>
          <w:lang w:eastAsia="zh-CN"/>
        </w:rPr>
        <w:t>的违约金，采购人有权单方面解除合同。</w:t>
      </w:r>
    </w:p>
    <w:p w14:paraId="4F3286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解决合同纠纷的方式</w:t>
      </w:r>
    </w:p>
    <w:p w14:paraId="64E1F29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auto"/>
          <w:sz w:val="24"/>
          <w:szCs w:val="24"/>
          <w:highlight w:val="none"/>
          <w:shd w:val="clear" w:color="auto" w:fill="auto"/>
        </w:rPr>
        <w:t>因货物的质量问题发生的争议，由法定质量鉴定机构或其认可的质量鉴定机构进行质量鉴定。货物符合标准的，鉴定费由</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承担；货物不符合质量标准的，鉴定费由</w:t>
      </w:r>
      <w:r>
        <w:rPr>
          <w:rFonts w:hint="eastAsia" w:ascii="仿宋" w:hAnsi="仿宋" w:eastAsia="仿宋" w:cs="仿宋"/>
          <w:color w:val="auto"/>
          <w:sz w:val="24"/>
          <w:szCs w:val="24"/>
          <w:highlight w:val="none"/>
          <w:shd w:val="clear" w:color="auto" w:fill="auto"/>
          <w:lang w:eastAsia="zh-CN"/>
        </w:rPr>
        <w:t>中标人</w:t>
      </w:r>
      <w:r>
        <w:rPr>
          <w:rFonts w:hint="eastAsia" w:ascii="仿宋" w:hAnsi="仿宋" w:eastAsia="仿宋" w:cs="仿宋"/>
          <w:color w:val="auto"/>
          <w:sz w:val="24"/>
          <w:szCs w:val="24"/>
          <w:highlight w:val="none"/>
          <w:shd w:val="clear" w:color="auto" w:fill="auto"/>
        </w:rPr>
        <w:t>承担。</w:t>
      </w:r>
    </w:p>
    <w:p w14:paraId="4838BB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auto"/>
          <w:sz w:val="24"/>
          <w:szCs w:val="24"/>
          <w:highlight w:val="none"/>
          <w:shd w:val="clear" w:color="auto" w:fill="auto"/>
        </w:rPr>
        <w:t>合同履行期间，若双方发生争议，可协商或由有关部门调解解决，协商或调解不成的，可向</w:t>
      </w:r>
      <w:r>
        <w:rPr>
          <w:rFonts w:hint="eastAsia" w:ascii="仿宋" w:hAnsi="仿宋" w:eastAsia="仿宋" w:cs="仿宋"/>
          <w:color w:val="auto"/>
          <w:sz w:val="24"/>
          <w:szCs w:val="24"/>
          <w:highlight w:val="none"/>
          <w:shd w:val="clear" w:color="auto" w:fill="auto"/>
          <w:lang w:eastAsia="zh-CN"/>
        </w:rPr>
        <w:t>采购人</w:t>
      </w:r>
      <w:r>
        <w:rPr>
          <w:rFonts w:hint="eastAsia" w:ascii="仿宋" w:hAnsi="仿宋" w:eastAsia="仿宋" w:cs="仿宋"/>
          <w:color w:val="auto"/>
          <w:sz w:val="24"/>
          <w:szCs w:val="24"/>
          <w:highlight w:val="none"/>
          <w:shd w:val="clear" w:color="auto" w:fill="auto"/>
        </w:rPr>
        <w:t>所在地人民法院依法提起诉讼。</w:t>
      </w:r>
    </w:p>
    <w:p w14:paraId="4FAD39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szCs w:val="24"/>
          <w:highlight w:val="none"/>
          <w:shd w:val="clear" w:color="auto" w:fill="auto"/>
        </w:rPr>
      </w:pPr>
    </w:p>
    <w:p w14:paraId="7F9EF249">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outlineLvl w:val="1"/>
        <w:rPr>
          <w:rFonts w:hint="eastAsia" w:ascii="仿宋" w:hAnsi="仿宋" w:eastAsia="仿宋" w:cs="仿宋"/>
          <w:b/>
          <w:bCs/>
          <w:color w:val="auto"/>
          <w:sz w:val="28"/>
          <w:szCs w:val="28"/>
          <w:highlight w:val="none"/>
          <w:shd w:val="clear" w:color="auto" w:fill="auto"/>
          <w:lang w:val="en-US" w:eastAsia="zh-CN"/>
        </w:rPr>
      </w:pPr>
      <w:r>
        <w:rPr>
          <w:rFonts w:hint="eastAsia" w:ascii="仿宋" w:hAnsi="仿宋" w:eastAsia="仿宋" w:cs="仿宋"/>
          <w:b/>
          <w:bCs/>
          <w:color w:val="auto"/>
          <w:sz w:val="28"/>
          <w:szCs w:val="28"/>
          <w:highlight w:val="none"/>
          <w:shd w:val="clear" w:color="auto" w:fill="auto"/>
          <w:lang w:val="en-US" w:eastAsia="zh-CN"/>
        </w:rPr>
        <w:t>3.6</w:t>
      </w:r>
      <w:r>
        <w:rPr>
          <w:rFonts w:hint="eastAsia" w:ascii="仿宋" w:hAnsi="仿宋" w:eastAsia="仿宋" w:cs="仿宋"/>
          <w:b/>
          <w:bCs/>
          <w:color w:val="auto"/>
          <w:kern w:val="2"/>
          <w:sz w:val="28"/>
          <w:szCs w:val="28"/>
          <w:highlight w:val="none"/>
          <w:shd w:val="clear" w:color="auto" w:fill="auto"/>
          <w:lang w:val="en-US" w:eastAsia="zh-CN" w:bidi="ar-SA"/>
        </w:rPr>
        <w:t>履约验收方案</w:t>
      </w:r>
    </w:p>
    <w:p w14:paraId="7DC8DE4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1.</w:t>
      </w:r>
      <w:r>
        <w:rPr>
          <w:rFonts w:hint="eastAsia" w:ascii="仿宋" w:hAnsi="仿宋" w:eastAsia="仿宋" w:cs="仿宋"/>
          <w:color w:val="auto"/>
          <w:sz w:val="24"/>
          <w:highlight w:val="none"/>
          <w:u w:val="none"/>
          <w:shd w:val="clear" w:color="auto" w:fill="auto"/>
        </w:rPr>
        <w:t>履约验收程序</w:t>
      </w:r>
      <w:r>
        <w:rPr>
          <w:rFonts w:hint="eastAsia" w:ascii="仿宋" w:hAnsi="仿宋" w:eastAsia="仿宋" w:cs="仿宋"/>
          <w:color w:val="auto"/>
          <w:sz w:val="24"/>
          <w:highlight w:val="none"/>
          <w:u w:val="none"/>
          <w:shd w:val="clear" w:color="auto" w:fill="auto"/>
          <w:lang w:eastAsia="zh-CN"/>
        </w:rPr>
        <w:t>：</w:t>
      </w:r>
      <w:r>
        <w:rPr>
          <w:rFonts w:hint="eastAsia" w:ascii="仿宋" w:hAnsi="仿宋" w:eastAsia="仿宋" w:cs="仿宋"/>
          <w:color w:val="auto"/>
          <w:sz w:val="24"/>
          <w:highlight w:val="none"/>
          <w:u w:val="none"/>
          <w:shd w:val="clear" w:color="auto" w:fill="auto"/>
          <w:lang w:val="en-US" w:eastAsia="zh-CN"/>
        </w:rPr>
        <w:t>分批次验收。</w:t>
      </w:r>
    </w:p>
    <w:p w14:paraId="2BB9DF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2.</w:t>
      </w:r>
      <w:r>
        <w:rPr>
          <w:rFonts w:hint="eastAsia" w:ascii="仿宋" w:hAnsi="仿宋" w:eastAsia="仿宋" w:cs="仿宋"/>
          <w:color w:val="auto"/>
          <w:sz w:val="24"/>
          <w:highlight w:val="none"/>
          <w:u w:val="none"/>
          <w:shd w:val="clear" w:color="auto" w:fill="auto"/>
        </w:rPr>
        <w:t>履约验收时间：</w:t>
      </w:r>
      <w:r>
        <w:rPr>
          <w:rFonts w:hint="eastAsia" w:ascii="仿宋" w:hAnsi="仿宋" w:eastAsia="仿宋" w:cs="仿宋"/>
          <w:color w:val="auto"/>
          <w:sz w:val="24"/>
          <w:highlight w:val="none"/>
          <w:u w:val="none"/>
          <w:shd w:val="clear" w:color="auto" w:fill="auto"/>
          <w:lang w:val="en-US" w:eastAsia="zh-CN"/>
        </w:rPr>
        <w:t>合同期限内，根据采购人要求分批次送货，完成送货、验收入库视为验收完成。</w:t>
      </w:r>
    </w:p>
    <w:p w14:paraId="70C8E54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3.</w:t>
      </w:r>
      <w:r>
        <w:rPr>
          <w:rFonts w:hint="eastAsia" w:ascii="仿宋" w:hAnsi="仿宋" w:eastAsia="仿宋" w:cs="仿宋"/>
          <w:color w:val="auto"/>
          <w:sz w:val="24"/>
          <w:highlight w:val="none"/>
          <w:u w:val="none"/>
          <w:shd w:val="clear" w:color="auto" w:fill="auto"/>
        </w:rPr>
        <w:t>技术履约验收内容：</w:t>
      </w:r>
      <w:r>
        <w:rPr>
          <w:rFonts w:hint="eastAsia" w:ascii="仿宋" w:hAnsi="仿宋" w:eastAsia="仿宋" w:cs="仿宋"/>
          <w:color w:val="auto"/>
          <w:sz w:val="24"/>
          <w:highlight w:val="none"/>
          <w:u w:val="none"/>
          <w:shd w:val="clear" w:color="auto" w:fill="auto"/>
          <w:lang w:val="en-US" w:eastAsia="zh-CN"/>
        </w:rPr>
        <w:t>采购人按照本项目技术要求进行验收。</w:t>
      </w:r>
    </w:p>
    <w:p w14:paraId="3E4D9B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z w:val="24"/>
          <w:highlight w:val="none"/>
          <w:u w:val="none"/>
          <w:shd w:val="clear" w:color="auto" w:fill="auto"/>
          <w:lang w:val="en-US" w:eastAsia="zh-CN"/>
        </w:rPr>
      </w:pPr>
      <w:r>
        <w:rPr>
          <w:rFonts w:hint="eastAsia" w:ascii="仿宋" w:hAnsi="仿宋" w:eastAsia="仿宋" w:cs="仿宋"/>
          <w:color w:val="auto"/>
          <w:sz w:val="24"/>
          <w:highlight w:val="none"/>
          <w:u w:val="none"/>
          <w:shd w:val="clear" w:color="auto" w:fill="auto"/>
          <w:lang w:val="en-US" w:eastAsia="zh-CN"/>
        </w:rPr>
        <w:t>4.</w:t>
      </w:r>
      <w:r>
        <w:rPr>
          <w:rFonts w:hint="eastAsia" w:ascii="仿宋" w:hAnsi="仿宋" w:eastAsia="仿宋" w:cs="仿宋"/>
          <w:color w:val="auto"/>
          <w:sz w:val="24"/>
          <w:highlight w:val="none"/>
          <w:u w:val="none"/>
          <w:shd w:val="clear" w:color="auto" w:fill="auto"/>
        </w:rPr>
        <w:t>商务履约验收内容：</w:t>
      </w:r>
      <w:r>
        <w:rPr>
          <w:rFonts w:hint="eastAsia" w:ascii="仿宋" w:hAnsi="仿宋" w:eastAsia="仿宋" w:cs="仿宋"/>
          <w:color w:val="auto"/>
          <w:sz w:val="24"/>
          <w:highlight w:val="none"/>
          <w:u w:val="none"/>
          <w:shd w:val="clear" w:color="auto" w:fill="auto"/>
          <w:lang w:val="en-US" w:eastAsia="zh-CN"/>
        </w:rPr>
        <w:t>采购人按照本项目商务要求进行验收。</w:t>
      </w:r>
    </w:p>
    <w:p w14:paraId="4B26F91A">
      <w:pPr>
        <w:ind w:firstLine="480" w:firstLineChars="200"/>
      </w:pPr>
      <w:r>
        <w:rPr>
          <w:rFonts w:hint="eastAsia" w:ascii="仿宋" w:hAnsi="仿宋" w:eastAsia="仿宋" w:cs="仿宋"/>
          <w:color w:val="auto"/>
          <w:sz w:val="24"/>
          <w:highlight w:val="none"/>
          <w:u w:val="none"/>
          <w:shd w:val="clear" w:color="auto" w:fill="auto"/>
          <w:lang w:val="en-US" w:eastAsia="zh-CN"/>
        </w:rPr>
        <w:t>5.</w:t>
      </w:r>
      <w:r>
        <w:rPr>
          <w:rFonts w:hint="eastAsia" w:ascii="仿宋" w:hAnsi="仿宋" w:eastAsia="仿宋" w:cs="仿宋"/>
          <w:color w:val="auto"/>
          <w:sz w:val="24"/>
          <w:highlight w:val="none"/>
          <w:u w:val="none"/>
          <w:shd w:val="clear" w:color="auto" w:fill="auto"/>
        </w:rPr>
        <w:t>履约收标准：</w:t>
      </w:r>
      <w:r>
        <w:rPr>
          <w:rFonts w:hint="eastAsia" w:ascii="仿宋" w:hAnsi="仿宋" w:eastAsia="仿宋" w:cs="仿宋"/>
          <w:color w:val="auto"/>
          <w:sz w:val="24"/>
          <w:highlight w:val="none"/>
          <w:u w:val="none"/>
          <w:shd w:val="clear" w:color="auto" w:fill="auto"/>
          <w:lang w:val="en-US" w:eastAsia="zh-CN"/>
        </w:rPr>
        <w:t>采购人按照本项目合同要求进行验收</w:t>
      </w:r>
      <w:bookmarkStart w:id="1" w:name="_GoBack"/>
      <w:bookmarkEnd w:id="1"/>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1BD3B"/>
    <w:multiLevelType w:val="singleLevel"/>
    <w:tmpl w:val="81A1BD3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7F66F5"/>
    <w:rsid w:val="108B406B"/>
    <w:rsid w:val="1ACE595C"/>
    <w:rsid w:val="388A64C7"/>
    <w:rsid w:val="67BA4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32"/>
      <w:szCs w:val="22"/>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3776</Words>
  <Characters>3884</Characters>
  <Lines>0</Lines>
  <Paragraphs>0</Paragraphs>
  <TotalTime>0</TotalTime>
  <ScaleCrop>false</ScaleCrop>
  <LinksUpToDate>false</LinksUpToDate>
  <CharactersWithSpaces>3891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超超杨</cp:lastModifiedBy>
  <dcterms:modified xsi:type="dcterms:W3CDTF">2025-02-21T06:58:01Z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eyJoZGlkIjoiYzI4N2ZiMDIxNTgzYTE0ZGY4Y2VmOTFiZDBiZGUxMjUiLCJ1c2VySWQiOiIyOTgyNDc5NTEifQ==</vt:lpwstr>
  </property>
  <property fmtid="{D5CDD505-2E9C-101B-9397-08002B2CF9AE}" pid="4" name="ICV">
    <vt:lpwstr>C5B7C8CBB9774CFEB3B6A5951A74B4A9_12</vt:lpwstr>
  </property>
</Properties>
</file>