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153E61">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kinsoku/>
        <w:autoSpaceDE/>
        <w:autoSpaceDN/>
        <w:adjustRightInd/>
        <w:snapToGrid/>
        <w:spacing w:before="0" w:beforeLines="0" w:beforeAutospacing="0" w:after="0" w:afterLines="0" w:afterAutospacing="0" w:line="360" w:lineRule="auto"/>
        <w:ind w:right="0"/>
        <w:jc w:val="center"/>
        <w:textAlignment w:val="auto"/>
        <w:rPr>
          <w:rFonts w:hint="default" w:ascii="仿宋" w:hAnsi="仿宋" w:eastAsia="仿宋" w:cs="仿宋"/>
          <w:b/>
          <w:bCs/>
          <w:snapToGrid/>
          <w:color w:val="auto"/>
          <w:kern w:val="2"/>
          <w:sz w:val="32"/>
          <w:szCs w:val="32"/>
          <w:highlight w:val="none"/>
          <w:shd w:val="clear" w:color="auto" w:fill="auto"/>
          <w:lang w:val="en-US" w:eastAsia="zh-CN" w:bidi="ar-SA"/>
        </w:rPr>
      </w:pPr>
      <w:r>
        <w:rPr>
          <w:rFonts w:hint="eastAsia" w:ascii="仿宋" w:hAnsi="仿宋" w:eastAsia="仿宋" w:cs="仿宋"/>
          <w:b/>
          <w:bCs/>
          <w:snapToGrid/>
          <w:color w:val="auto"/>
          <w:kern w:val="2"/>
          <w:sz w:val="32"/>
          <w:szCs w:val="32"/>
          <w:highlight w:val="none"/>
          <w:shd w:val="clear" w:color="auto" w:fill="auto"/>
          <w:lang w:val="en-US" w:eastAsia="zh-CN" w:bidi="ar-SA"/>
        </w:rPr>
        <w:t>采购需求</w:t>
      </w:r>
    </w:p>
    <w:p w14:paraId="2DFEA6E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Autospacing="0" w:afterAutospacing="0" w:line="240" w:lineRule="auto"/>
        <w:ind w:left="0" w:right="0" w:firstLine="480" w:firstLineChars="200"/>
        <w:jc w:val="left"/>
        <w:textAlignment w:val="auto"/>
        <w:rPr>
          <w:rFonts w:hint="eastAsia" w:ascii="仿宋" w:hAnsi="仿宋" w:eastAsia="仿宋" w:cs="仿宋"/>
          <w:snapToGrid/>
          <w:color w:val="auto"/>
          <w:kern w:val="2"/>
          <w:sz w:val="24"/>
          <w:szCs w:val="24"/>
          <w:highlight w:val="none"/>
          <w:shd w:val="clear" w:color="auto" w:fill="auto"/>
          <w:lang w:val="en-US" w:eastAsia="zh-CN" w:bidi="ar-SA"/>
        </w:rPr>
      </w:pPr>
      <w:r>
        <w:rPr>
          <w:rFonts w:hint="eastAsia" w:ascii="仿宋" w:hAnsi="仿宋" w:eastAsia="仿宋" w:cs="仿宋"/>
          <w:snapToGrid/>
          <w:color w:val="auto"/>
          <w:kern w:val="2"/>
          <w:sz w:val="24"/>
          <w:szCs w:val="24"/>
          <w:highlight w:val="none"/>
          <w:shd w:val="clear" w:color="auto" w:fill="auto"/>
          <w:lang w:val="en-US" w:eastAsia="zh-CN" w:bidi="ar-SA"/>
        </w:rPr>
        <w:t>须知：1.本部分标注“★”的条款为本项目的实质性条款，竞选人不满足的，将按照无效响应处理；标注“▲”的为重要条款，得分占比相较一般条款更高；未标注条款为一般条款。</w:t>
      </w:r>
    </w:p>
    <w:p w14:paraId="23E21EA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Autospacing="0" w:afterAutospacing="0" w:line="240" w:lineRule="auto"/>
        <w:ind w:left="0" w:right="0" w:firstLine="480" w:firstLineChars="200"/>
        <w:jc w:val="left"/>
        <w:textAlignment w:val="auto"/>
        <w:rPr>
          <w:rFonts w:hint="eastAsia" w:ascii="仿宋" w:hAnsi="仿宋" w:eastAsia="仿宋" w:cs="仿宋"/>
          <w:snapToGrid/>
          <w:color w:val="auto"/>
          <w:kern w:val="2"/>
          <w:sz w:val="24"/>
          <w:szCs w:val="24"/>
          <w:highlight w:val="none"/>
          <w:shd w:val="clear" w:color="auto" w:fill="auto"/>
          <w:lang w:val="en-US" w:eastAsia="zh-CN" w:bidi="ar-SA"/>
        </w:rPr>
      </w:pPr>
      <w:r>
        <w:rPr>
          <w:rFonts w:hint="eastAsia" w:ascii="仿宋" w:hAnsi="仿宋" w:eastAsia="仿宋" w:cs="仿宋"/>
          <w:snapToGrid/>
          <w:color w:val="auto"/>
          <w:kern w:val="2"/>
          <w:sz w:val="24"/>
          <w:szCs w:val="24"/>
          <w:highlight w:val="none"/>
          <w:shd w:val="clear" w:color="auto" w:fill="auto"/>
          <w:lang w:val="en-US" w:eastAsia="zh-CN" w:bidi="ar-SA"/>
        </w:rPr>
        <w:t>2.技术要求条款均为条目式，参数设置请客观明确，参与评分的指标应当是采购需求中的量化指标，评分项应当按照量化指标的等次，设置对应的不同分值。不能完全确定客观指标，需由竞选人提供设计方案、解决方案或者组织方案的采购项目。</w:t>
      </w:r>
    </w:p>
    <w:p w14:paraId="6D8B9BC6">
      <w:pPr>
        <w:keepNext w:val="0"/>
        <w:keepLines w:val="0"/>
        <w:pageBreakBefore w:val="0"/>
        <w:wordWrap/>
        <w:overflowPunct/>
        <w:topLinePunct w:val="0"/>
        <w:bidi w:val="0"/>
        <w:spacing w:before="0" w:beforeLines="0" w:after="0" w:afterLines="0" w:line="240" w:lineRule="auto"/>
        <w:ind w:firstLine="480" w:firstLineChars="200"/>
        <w:jc w:val="left"/>
        <w:outlineLvl w:val="1"/>
        <w:rPr>
          <w:rFonts w:hint="eastAsia" w:ascii="仿宋" w:hAnsi="仿宋" w:eastAsia="仿宋" w:cs="仿宋"/>
          <w:sz w:val="24"/>
          <w:szCs w:val="24"/>
          <w:highlight w:val="none"/>
          <w:lang w:val="en-US" w:eastAsia="zh-CN"/>
        </w:rPr>
      </w:pPr>
      <w:r>
        <w:rPr>
          <w:rFonts w:hint="eastAsia" w:ascii="仿宋" w:hAnsi="仿宋" w:eastAsia="仿宋" w:cs="仿宋"/>
          <w:b/>
          <w:sz w:val="24"/>
          <w:szCs w:val="24"/>
          <w:highlight w:val="none"/>
          <w:lang w:val="en-US" w:eastAsia="zh-Hans"/>
        </w:rPr>
        <w:t>3.1.</w:t>
      </w:r>
      <w:r>
        <w:rPr>
          <w:rFonts w:hint="eastAsia" w:ascii="仿宋" w:hAnsi="仿宋" w:eastAsia="仿宋" w:cs="仿宋"/>
          <w:b/>
          <w:sz w:val="24"/>
          <w:szCs w:val="24"/>
          <w:highlight w:val="none"/>
          <w:lang w:val="en-US" w:eastAsia="zh-CN"/>
        </w:rPr>
        <w:t>标的情况</w:t>
      </w:r>
    </w:p>
    <w:p w14:paraId="6CE153A3">
      <w:pPr>
        <w:keepNext w:val="0"/>
        <w:keepLines w:val="0"/>
        <w:pageBreakBefore w:val="0"/>
        <w:wordWrap/>
        <w:overflowPunct/>
        <w:topLinePunct w:val="0"/>
        <w:bidi w:val="0"/>
        <w:spacing w:before="0" w:beforeLines="0" w:after="0" w:afterLines="0" w:line="240" w:lineRule="auto"/>
        <w:ind w:firstLine="480" w:firstLineChars="200"/>
        <w:jc w:val="left"/>
        <w:outlineLvl w:val="2"/>
        <w:rPr>
          <w:rFonts w:hint="eastAsia" w:ascii="仿宋" w:hAnsi="仿宋" w:eastAsia="仿宋" w:cs="仿宋"/>
          <w:b/>
          <w:bCs/>
          <w:i w:val="0"/>
          <w:iCs w:val="0"/>
          <w:sz w:val="24"/>
          <w:szCs w:val="24"/>
          <w:lang w:val="en-US" w:eastAsia="zh-Hans"/>
        </w:rPr>
      </w:pPr>
      <w:r>
        <w:rPr>
          <w:rFonts w:hint="eastAsia" w:ascii="仿宋" w:hAnsi="仿宋" w:eastAsia="仿宋" w:cs="仿宋"/>
          <w:b/>
          <w:bCs/>
          <w:i w:val="0"/>
          <w:iCs w:val="0"/>
          <w:sz w:val="24"/>
          <w:szCs w:val="24"/>
          <w:lang w:val="en-US" w:eastAsia="zh-Hans"/>
        </w:rPr>
        <w:t>采购包1：</w:t>
      </w:r>
    </w:p>
    <w:tbl>
      <w:tblPr>
        <w:tblStyle w:val="2"/>
        <w:tblW w:w="4998" w:type="pct"/>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93"/>
        <w:gridCol w:w="624"/>
        <w:gridCol w:w="1834"/>
        <w:gridCol w:w="1537"/>
        <w:gridCol w:w="768"/>
        <w:gridCol w:w="1293"/>
        <w:gridCol w:w="1404"/>
        <w:gridCol w:w="1275"/>
      </w:tblGrid>
      <w:tr w14:paraId="715BF2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30" w:hRule="atLeast"/>
          <w:jc w:val="center"/>
        </w:trPr>
        <w:tc>
          <w:tcPr>
            <w:tcW w:w="267" w:type="pct"/>
            <w:tcBorders>
              <w:bottom w:val="single" w:color="auto" w:sz="4" w:space="0"/>
            </w:tcBorders>
            <w:vAlign w:val="center"/>
          </w:tcPr>
          <w:p w14:paraId="0C4621CC">
            <w:pPr>
              <w:keepNext w:val="0"/>
              <w:keepLines w:val="0"/>
              <w:pageBreakBefore w:val="0"/>
              <w:wordWrap/>
              <w:overflowPunct/>
              <w:topLinePunct w:val="0"/>
              <w:bidi w:val="0"/>
              <w:spacing w:before="0" w:beforeLines="0" w:after="0" w:afterLines="0" w:line="240" w:lineRule="auto"/>
              <w:ind w:firstLine="0" w:firstLineChars="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包号</w:t>
            </w:r>
          </w:p>
        </w:tc>
        <w:tc>
          <w:tcPr>
            <w:tcW w:w="338" w:type="pct"/>
            <w:vAlign w:val="center"/>
          </w:tcPr>
          <w:p w14:paraId="15C4AF4C">
            <w:pPr>
              <w:keepNext w:val="0"/>
              <w:keepLines w:val="0"/>
              <w:pageBreakBefore w:val="0"/>
              <w:wordWrap/>
              <w:overflowPunct/>
              <w:topLinePunct w:val="0"/>
              <w:bidi w:val="0"/>
              <w:spacing w:before="0" w:beforeLines="0" w:after="0" w:afterLines="0" w:line="240" w:lineRule="auto"/>
              <w:ind w:firstLine="0" w:firstLineChars="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编号</w:t>
            </w:r>
          </w:p>
        </w:tc>
        <w:tc>
          <w:tcPr>
            <w:tcW w:w="993" w:type="pct"/>
            <w:vAlign w:val="center"/>
          </w:tcPr>
          <w:p w14:paraId="7598D8E5">
            <w:pPr>
              <w:keepNext w:val="0"/>
              <w:keepLines w:val="0"/>
              <w:pageBreakBefore w:val="0"/>
              <w:wordWrap/>
              <w:overflowPunct/>
              <w:topLinePunct w:val="0"/>
              <w:bidi w:val="0"/>
              <w:spacing w:before="0" w:beforeLines="0" w:after="0" w:afterLines="0" w:line="240" w:lineRule="auto"/>
              <w:ind w:firstLine="0" w:firstLineChars="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标的名称</w:t>
            </w:r>
          </w:p>
        </w:tc>
        <w:tc>
          <w:tcPr>
            <w:tcW w:w="832" w:type="pct"/>
            <w:vAlign w:val="center"/>
          </w:tcPr>
          <w:p w14:paraId="79722A69">
            <w:pPr>
              <w:keepNext w:val="0"/>
              <w:keepLines w:val="0"/>
              <w:pageBreakBefore w:val="0"/>
              <w:wordWrap/>
              <w:overflowPunct/>
              <w:topLinePunct w:val="0"/>
              <w:bidi w:val="0"/>
              <w:spacing w:before="0" w:beforeLines="0" w:after="0" w:afterLines="0" w:line="240" w:lineRule="auto"/>
              <w:ind w:firstLine="0" w:firstLineChars="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单价（元）</w:t>
            </w:r>
          </w:p>
        </w:tc>
        <w:tc>
          <w:tcPr>
            <w:tcW w:w="416" w:type="pct"/>
            <w:vAlign w:val="center"/>
          </w:tcPr>
          <w:p w14:paraId="6048B0DF">
            <w:pPr>
              <w:keepNext w:val="0"/>
              <w:keepLines w:val="0"/>
              <w:pageBreakBefore w:val="0"/>
              <w:wordWrap/>
              <w:overflowPunct/>
              <w:topLinePunct w:val="0"/>
              <w:bidi w:val="0"/>
              <w:spacing w:before="0" w:beforeLines="0" w:after="0" w:afterLines="0" w:line="240" w:lineRule="auto"/>
              <w:ind w:firstLine="0" w:firstLineChars="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数量</w:t>
            </w:r>
          </w:p>
        </w:tc>
        <w:tc>
          <w:tcPr>
            <w:tcW w:w="700" w:type="pct"/>
            <w:vAlign w:val="center"/>
          </w:tcPr>
          <w:p w14:paraId="6A7F0717">
            <w:pPr>
              <w:keepNext w:val="0"/>
              <w:keepLines w:val="0"/>
              <w:pageBreakBefore w:val="0"/>
              <w:wordWrap/>
              <w:overflowPunct/>
              <w:topLinePunct w:val="0"/>
              <w:bidi w:val="0"/>
              <w:spacing w:before="0" w:beforeLines="0" w:after="0" w:afterLines="0" w:line="240" w:lineRule="auto"/>
              <w:ind w:firstLine="0" w:firstLineChars="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计量单位</w:t>
            </w:r>
          </w:p>
        </w:tc>
        <w:tc>
          <w:tcPr>
            <w:tcW w:w="760" w:type="pct"/>
            <w:vAlign w:val="center"/>
          </w:tcPr>
          <w:p w14:paraId="62DF31EB">
            <w:pPr>
              <w:keepNext w:val="0"/>
              <w:keepLines w:val="0"/>
              <w:pageBreakBefore w:val="0"/>
              <w:wordWrap/>
              <w:overflowPunct/>
              <w:topLinePunct w:val="0"/>
              <w:bidi w:val="0"/>
              <w:spacing w:before="0" w:beforeLines="0" w:after="0" w:afterLines="0" w:line="240" w:lineRule="auto"/>
              <w:ind w:firstLine="0" w:firstLineChars="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预算金额（元）</w:t>
            </w:r>
          </w:p>
        </w:tc>
        <w:tc>
          <w:tcPr>
            <w:tcW w:w="690" w:type="pct"/>
            <w:vAlign w:val="center"/>
          </w:tcPr>
          <w:p w14:paraId="47CD01BE">
            <w:pPr>
              <w:keepNext w:val="0"/>
              <w:keepLines w:val="0"/>
              <w:pageBreakBefore w:val="0"/>
              <w:wordWrap/>
              <w:overflowPunct/>
              <w:topLinePunct w:val="0"/>
              <w:bidi w:val="0"/>
              <w:spacing w:before="0" w:beforeLines="0" w:after="0" w:afterLines="0" w:line="240" w:lineRule="auto"/>
              <w:ind w:firstLine="0" w:firstLineChars="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最高限价 （元）</w:t>
            </w:r>
          </w:p>
        </w:tc>
      </w:tr>
      <w:tr w14:paraId="5FB019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41" w:hRule="atLeast"/>
          <w:jc w:val="center"/>
        </w:trPr>
        <w:tc>
          <w:tcPr>
            <w:tcW w:w="267" w:type="pct"/>
            <w:tcBorders>
              <w:top w:val="single" w:color="auto" w:sz="4" w:space="0"/>
              <w:left w:val="single" w:color="auto" w:sz="4" w:space="0"/>
              <w:bottom w:val="single" w:color="auto" w:sz="4" w:space="0"/>
              <w:right w:val="single" w:color="auto" w:sz="4" w:space="0"/>
            </w:tcBorders>
            <w:vAlign w:val="center"/>
          </w:tcPr>
          <w:p w14:paraId="6628265E">
            <w:pPr>
              <w:keepNext w:val="0"/>
              <w:keepLines w:val="0"/>
              <w:pageBreakBefore w:val="0"/>
              <w:wordWrap/>
              <w:overflowPunct/>
              <w:topLinePunct w:val="0"/>
              <w:bidi w:val="0"/>
              <w:spacing w:before="0" w:beforeLines="0" w:after="0" w:afterLines="0" w:line="240" w:lineRule="auto"/>
              <w:ind w:firstLine="0" w:firstLineChars="0"/>
              <w:jc w:val="center"/>
              <w:rPr>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color w:val="auto"/>
                <w:kern w:val="2"/>
                <w:sz w:val="24"/>
                <w:szCs w:val="24"/>
                <w:highlight w:val="none"/>
                <w:shd w:val="clear" w:color="auto" w:fill="auto"/>
                <w:lang w:val="en-US" w:eastAsia="zh-CN" w:bidi="ar-SA"/>
              </w:rPr>
              <w:t>1</w:t>
            </w:r>
          </w:p>
        </w:tc>
        <w:tc>
          <w:tcPr>
            <w:tcW w:w="338" w:type="pct"/>
            <w:tcBorders>
              <w:left w:val="single" w:color="auto" w:sz="4" w:space="0"/>
            </w:tcBorders>
            <w:vAlign w:val="center"/>
          </w:tcPr>
          <w:p w14:paraId="7397EA51">
            <w:pPr>
              <w:keepNext w:val="0"/>
              <w:keepLines w:val="0"/>
              <w:pageBreakBefore w:val="0"/>
              <w:wordWrap/>
              <w:overflowPunct/>
              <w:topLinePunct w:val="0"/>
              <w:bidi w:val="0"/>
              <w:spacing w:before="0" w:beforeLines="0" w:after="0" w:afterLines="0" w:line="240" w:lineRule="auto"/>
              <w:ind w:firstLine="0" w:firstLineChars="0"/>
              <w:jc w:val="center"/>
              <w:rPr>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b w:val="0"/>
                <w:bCs w:val="0"/>
                <w:color w:val="auto"/>
                <w:kern w:val="2"/>
                <w:sz w:val="24"/>
                <w:szCs w:val="24"/>
                <w:highlight w:val="none"/>
                <w:shd w:val="clear" w:color="auto" w:fill="auto"/>
                <w:lang w:val="en-US" w:eastAsia="zh-CN" w:bidi="ar-SA"/>
              </w:rPr>
              <w:t>1-1</w:t>
            </w:r>
          </w:p>
        </w:tc>
        <w:tc>
          <w:tcPr>
            <w:tcW w:w="993" w:type="pct"/>
            <w:tcBorders>
              <w:left w:val="single" w:color="auto" w:sz="4" w:space="0"/>
            </w:tcBorders>
            <w:vAlign w:val="center"/>
          </w:tcPr>
          <w:p w14:paraId="4912203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 w:hAnsi="仿宋" w:eastAsia="仿宋" w:cs="仿宋"/>
                <w:snapToGrid/>
                <w:color w:val="auto"/>
                <w:kern w:val="2"/>
                <w:sz w:val="24"/>
                <w:szCs w:val="24"/>
                <w:highlight w:val="none"/>
                <w:shd w:val="clear" w:color="auto" w:fill="auto"/>
                <w:lang w:val="en-US" w:eastAsia="zh-CN" w:bidi="ar-SA"/>
              </w:rPr>
            </w:pPr>
            <w:r>
              <w:rPr>
                <w:rFonts w:hint="eastAsia" w:ascii="仿宋" w:hAnsi="仿宋" w:eastAsia="仿宋" w:cs="仿宋"/>
                <w:b w:val="0"/>
                <w:bCs w:val="0"/>
                <w:snapToGrid/>
                <w:color w:val="auto"/>
                <w:kern w:val="2"/>
                <w:sz w:val="24"/>
                <w:szCs w:val="24"/>
                <w:highlight w:val="none"/>
                <w:shd w:val="clear" w:color="auto" w:fill="auto"/>
                <w:lang w:val="en-US" w:eastAsia="zh-CN" w:bidi="ar-SA"/>
              </w:rPr>
              <w:t>内控制度体系建设服务</w:t>
            </w:r>
          </w:p>
        </w:tc>
        <w:tc>
          <w:tcPr>
            <w:tcW w:w="832" w:type="pct"/>
            <w:vAlign w:val="center"/>
          </w:tcPr>
          <w:p w14:paraId="23547A1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 w:hAnsi="仿宋" w:eastAsia="仿宋" w:cs="仿宋"/>
                <w:snapToGrid/>
                <w:color w:val="auto"/>
                <w:kern w:val="2"/>
                <w:sz w:val="24"/>
                <w:szCs w:val="24"/>
                <w:highlight w:val="none"/>
                <w:shd w:val="clear" w:color="auto" w:fill="auto"/>
                <w:lang w:val="en-US" w:eastAsia="zh-CN" w:bidi="ar-SA"/>
              </w:rPr>
            </w:pPr>
            <w:r>
              <w:rPr>
                <w:rFonts w:hint="eastAsia" w:ascii="仿宋" w:hAnsi="仿宋" w:eastAsia="仿宋" w:cs="仿宋"/>
                <w:b w:val="0"/>
                <w:bCs w:val="0"/>
                <w:snapToGrid/>
                <w:color w:val="auto"/>
                <w:kern w:val="2"/>
                <w:sz w:val="24"/>
                <w:szCs w:val="24"/>
                <w:highlight w:val="none"/>
                <w:shd w:val="clear" w:color="auto" w:fill="auto"/>
                <w:lang w:val="en-US" w:eastAsia="zh-CN" w:bidi="ar-SA"/>
              </w:rPr>
              <w:t>75000.00</w:t>
            </w:r>
          </w:p>
        </w:tc>
        <w:tc>
          <w:tcPr>
            <w:tcW w:w="416" w:type="pct"/>
            <w:vAlign w:val="center"/>
          </w:tcPr>
          <w:p w14:paraId="64A33D0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 w:hAnsi="仿宋" w:eastAsia="仿宋" w:cs="仿宋"/>
                <w:b w:val="0"/>
                <w:bCs w:val="0"/>
                <w:snapToGrid/>
                <w:color w:val="auto"/>
                <w:kern w:val="2"/>
                <w:sz w:val="24"/>
                <w:szCs w:val="24"/>
                <w:highlight w:val="none"/>
                <w:shd w:val="clear" w:color="auto" w:fill="auto"/>
                <w:lang w:val="en-US" w:eastAsia="zh-CN" w:bidi="ar-SA"/>
              </w:rPr>
            </w:pPr>
            <w:r>
              <w:rPr>
                <w:rFonts w:hint="eastAsia" w:ascii="仿宋" w:hAnsi="仿宋" w:eastAsia="仿宋" w:cs="仿宋"/>
                <w:b w:val="0"/>
                <w:bCs w:val="0"/>
                <w:snapToGrid/>
                <w:color w:val="auto"/>
                <w:kern w:val="2"/>
                <w:sz w:val="24"/>
                <w:szCs w:val="24"/>
                <w:highlight w:val="none"/>
                <w:shd w:val="clear" w:color="auto" w:fill="auto"/>
                <w:lang w:val="en-US" w:eastAsia="zh-CN" w:bidi="ar-SA"/>
              </w:rPr>
              <w:t>1</w:t>
            </w:r>
          </w:p>
        </w:tc>
        <w:tc>
          <w:tcPr>
            <w:tcW w:w="700" w:type="pct"/>
            <w:vAlign w:val="center"/>
          </w:tcPr>
          <w:p w14:paraId="4474808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 w:hAnsi="仿宋" w:eastAsia="仿宋" w:cs="仿宋"/>
                <w:snapToGrid/>
                <w:color w:val="auto"/>
                <w:kern w:val="2"/>
                <w:sz w:val="24"/>
                <w:szCs w:val="24"/>
                <w:highlight w:val="none"/>
                <w:shd w:val="clear" w:color="auto" w:fill="auto"/>
                <w:lang w:val="en-US" w:eastAsia="zh-CN" w:bidi="ar-SA"/>
              </w:rPr>
            </w:pPr>
            <w:r>
              <w:rPr>
                <w:rFonts w:hint="eastAsia" w:ascii="仿宋" w:hAnsi="仿宋" w:eastAsia="仿宋" w:cs="仿宋"/>
                <w:b w:val="0"/>
                <w:bCs w:val="0"/>
                <w:snapToGrid/>
                <w:color w:val="auto"/>
                <w:kern w:val="2"/>
                <w:sz w:val="24"/>
                <w:szCs w:val="24"/>
                <w:highlight w:val="none"/>
                <w:shd w:val="clear" w:color="auto" w:fill="auto"/>
                <w:lang w:val="en-US" w:eastAsia="zh-CN" w:bidi="ar-SA"/>
              </w:rPr>
              <w:t>项</w:t>
            </w:r>
          </w:p>
        </w:tc>
        <w:tc>
          <w:tcPr>
            <w:tcW w:w="760" w:type="pct"/>
            <w:vAlign w:val="center"/>
          </w:tcPr>
          <w:p w14:paraId="6295DE9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 w:hAnsi="仿宋" w:eastAsia="仿宋" w:cs="仿宋"/>
                <w:snapToGrid/>
                <w:color w:val="auto"/>
                <w:kern w:val="2"/>
                <w:sz w:val="24"/>
                <w:szCs w:val="24"/>
                <w:highlight w:val="none"/>
                <w:shd w:val="clear" w:color="auto" w:fill="auto"/>
                <w:lang w:val="en-US" w:eastAsia="zh-CN" w:bidi="ar-SA"/>
              </w:rPr>
            </w:pPr>
            <w:r>
              <w:rPr>
                <w:rFonts w:hint="eastAsia" w:ascii="仿宋" w:hAnsi="仿宋" w:eastAsia="仿宋" w:cs="仿宋"/>
                <w:snapToGrid/>
                <w:color w:val="auto"/>
                <w:kern w:val="2"/>
                <w:sz w:val="24"/>
                <w:szCs w:val="24"/>
                <w:highlight w:val="none"/>
                <w:u w:val="none"/>
                <w:shd w:val="clear" w:color="auto" w:fill="auto"/>
                <w:lang w:val="en-US" w:eastAsia="zh-CN" w:bidi="ar-SA"/>
              </w:rPr>
              <w:t>200000.00</w:t>
            </w:r>
          </w:p>
        </w:tc>
        <w:tc>
          <w:tcPr>
            <w:tcW w:w="690" w:type="pct"/>
            <w:vAlign w:val="center"/>
          </w:tcPr>
          <w:p w14:paraId="4E92C7F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 w:hAnsi="仿宋" w:eastAsia="仿宋" w:cs="仿宋"/>
                <w:b w:val="0"/>
                <w:bCs w:val="0"/>
                <w:snapToGrid/>
                <w:color w:val="auto"/>
                <w:kern w:val="2"/>
                <w:sz w:val="24"/>
                <w:szCs w:val="24"/>
                <w:highlight w:val="none"/>
                <w:shd w:val="clear" w:color="auto" w:fill="auto"/>
                <w:lang w:val="en-US" w:eastAsia="zh-CN" w:bidi="ar-SA"/>
              </w:rPr>
            </w:pPr>
            <w:r>
              <w:rPr>
                <w:rFonts w:hint="eastAsia" w:ascii="仿宋" w:hAnsi="仿宋" w:eastAsia="仿宋" w:cs="仿宋"/>
                <w:b w:val="0"/>
                <w:bCs w:val="0"/>
                <w:snapToGrid/>
                <w:color w:val="auto"/>
                <w:kern w:val="2"/>
                <w:sz w:val="24"/>
                <w:szCs w:val="24"/>
                <w:highlight w:val="none"/>
                <w:shd w:val="clear" w:color="auto" w:fill="auto"/>
                <w:lang w:val="en-US" w:eastAsia="zh-CN" w:bidi="ar-SA"/>
              </w:rPr>
              <w:t>75000.00</w:t>
            </w:r>
          </w:p>
        </w:tc>
      </w:tr>
    </w:tbl>
    <w:p w14:paraId="0019E988">
      <w:pPr>
        <w:keepNext w:val="0"/>
        <w:keepLines w:val="0"/>
        <w:pageBreakBefore w:val="0"/>
        <w:wordWrap/>
        <w:overflowPunct/>
        <w:topLinePunct w:val="0"/>
        <w:bidi w:val="0"/>
        <w:spacing w:before="0" w:beforeLines="0" w:after="0" w:afterLines="0" w:line="240" w:lineRule="auto"/>
        <w:ind w:firstLine="480" w:firstLineChars="200"/>
        <w:jc w:val="left"/>
        <w:outlineLvl w:val="9"/>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 xml:space="preserve"> </w:t>
      </w:r>
      <w:r>
        <w:rPr>
          <w:rFonts w:hint="eastAsia" w:ascii="仿宋" w:hAnsi="仿宋" w:eastAsia="仿宋" w:cs="仿宋"/>
          <w:b/>
          <w:sz w:val="24"/>
          <w:szCs w:val="24"/>
          <w:lang w:val="en-US" w:eastAsia="zh-Hans"/>
        </w:rPr>
        <w:t>3.2.技术要求</w:t>
      </w:r>
    </w:p>
    <w:p w14:paraId="35E54AC1">
      <w:pPr>
        <w:keepNext w:val="0"/>
        <w:keepLines w:val="0"/>
        <w:pageBreakBefore w:val="0"/>
        <w:wordWrap/>
        <w:overflowPunct/>
        <w:topLinePunct w:val="0"/>
        <w:bidi w:val="0"/>
        <w:spacing w:before="0" w:beforeLines="0" w:after="0" w:afterLines="0" w:line="240" w:lineRule="auto"/>
        <w:ind w:firstLine="480" w:firstLineChars="200"/>
        <w:jc w:val="left"/>
        <w:outlineLvl w:val="2"/>
        <w:rPr>
          <w:rFonts w:hint="eastAsia" w:ascii="仿宋" w:hAnsi="仿宋" w:eastAsia="仿宋" w:cs="仿宋"/>
          <w:b/>
          <w:bCs/>
          <w:sz w:val="24"/>
          <w:szCs w:val="24"/>
          <w:lang w:val="en-US" w:eastAsia="zh-Hans"/>
        </w:rPr>
      </w:pPr>
      <w:r>
        <w:rPr>
          <w:rFonts w:hint="eastAsia" w:ascii="仿宋" w:hAnsi="仿宋" w:eastAsia="仿宋" w:cs="仿宋"/>
          <w:b/>
          <w:bCs/>
          <w:sz w:val="24"/>
          <w:szCs w:val="24"/>
          <w:lang w:val="en-US" w:eastAsia="zh-Hans"/>
        </w:rPr>
        <w:t>采购包1：</w:t>
      </w:r>
    </w:p>
    <w:p w14:paraId="42CA1B0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Autospacing="0" w:afterAutospacing="0" w:line="240" w:lineRule="auto"/>
        <w:ind w:left="0" w:right="0" w:firstLine="480" w:firstLineChars="200"/>
        <w:jc w:val="left"/>
        <w:textAlignment w:val="auto"/>
        <w:rPr>
          <w:rFonts w:hint="eastAsia" w:ascii="仿宋" w:hAnsi="仿宋" w:eastAsia="仿宋" w:cs="仿宋"/>
          <w:b/>
          <w:bCs/>
          <w:snapToGrid/>
          <w:color w:val="auto"/>
          <w:kern w:val="2"/>
          <w:sz w:val="24"/>
          <w:szCs w:val="24"/>
          <w:highlight w:val="none"/>
          <w:shd w:val="clear" w:color="auto" w:fill="auto"/>
          <w:lang w:val="en-US" w:eastAsia="zh-CN" w:bidi="ar-SA"/>
        </w:rPr>
      </w:pPr>
      <w:r>
        <w:rPr>
          <w:rFonts w:hint="eastAsia" w:ascii="仿宋" w:hAnsi="仿宋" w:eastAsia="仿宋" w:cs="仿宋"/>
          <w:b/>
          <w:bCs/>
          <w:snapToGrid/>
          <w:color w:val="auto"/>
          <w:kern w:val="2"/>
          <w:sz w:val="24"/>
          <w:szCs w:val="24"/>
          <w:highlight w:val="none"/>
          <w:shd w:val="clear" w:color="auto" w:fill="auto"/>
          <w:lang w:val="en-US" w:eastAsia="zh-CN" w:bidi="ar-SA"/>
        </w:rPr>
        <w:t>★一、采购内容</w:t>
      </w:r>
    </w:p>
    <w:p w14:paraId="3D842661">
      <w:pPr>
        <w:keepNext w:val="0"/>
        <w:keepLines w:val="0"/>
        <w:pageBreakBefore w:val="0"/>
        <w:widowControl/>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val="0"/>
        <w:snapToGrid w:val="0"/>
        <w:spacing w:beforeAutospacing="0" w:afterAutospacing="0" w:line="240" w:lineRule="auto"/>
        <w:ind w:left="0" w:right="0" w:firstLine="480" w:firstLineChars="200"/>
        <w:jc w:val="left"/>
        <w:textAlignment w:val="auto"/>
        <w:rPr>
          <w:rFonts w:hint="eastAsia" w:ascii="仿宋" w:hAnsi="仿宋" w:eastAsia="仿宋" w:cs="仿宋"/>
          <w:snapToGrid/>
          <w:kern w:val="2"/>
          <w:sz w:val="24"/>
          <w:szCs w:val="24"/>
          <w:highlight w:val="none"/>
          <w:lang w:val="en-US" w:eastAsia="zh-CN" w:bidi="ar-SA"/>
        </w:rPr>
      </w:pPr>
      <w:r>
        <w:rPr>
          <w:rFonts w:hint="eastAsia" w:ascii="仿宋" w:hAnsi="仿宋" w:eastAsia="仿宋" w:cs="仿宋"/>
          <w:snapToGrid/>
          <w:kern w:val="2"/>
          <w:sz w:val="24"/>
          <w:szCs w:val="24"/>
          <w:highlight w:val="none"/>
          <w:lang w:val="en-US" w:eastAsia="zh-CN" w:bidi="ar-SA"/>
        </w:rPr>
        <w:t>竞选人需安排项目负责人与采购人进行对接，并按照采购人要求安排人员在规定时间内(6个月)完成医院内部控制建设工作。</w:t>
      </w:r>
    </w:p>
    <w:p w14:paraId="0E1FCEF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val="0"/>
        <w:snapToGrid w:val="0"/>
        <w:spacing w:beforeAutospacing="0" w:afterAutospacing="0" w:line="240" w:lineRule="auto"/>
        <w:ind w:left="0" w:right="0" w:firstLine="480" w:firstLineChars="200"/>
        <w:jc w:val="left"/>
        <w:textAlignment w:val="auto"/>
        <w:rPr>
          <w:rFonts w:hint="eastAsia" w:ascii="仿宋" w:hAnsi="仿宋" w:eastAsia="仿宋" w:cs="仿宋"/>
          <w:snapToGrid/>
          <w:kern w:val="2"/>
          <w:sz w:val="24"/>
          <w:szCs w:val="24"/>
          <w:highlight w:val="none"/>
          <w:lang w:val="en-US" w:eastAsia="zh-CN" w:bidi="ar-SA"/>
        </w:rPr>
      </w:pPr>
      <w:r>
        <w:rPr>
          <w:rFonts w:hint="eastAsia" w:ascii="仿宋" w:hAnsi="仿宋" w:eastAsia="仿宋" w:cs="仿宋"/>
          <w:snapToGrid/>
          <w:kern w:val="2"/>
          <w:sz w:val="24"/>
          <w:szCs w:val="24"/>
          <w:highlight w:val="none"/>
          <w:lang w:val="en-US" w:eastAsia="zh-CN" w:bidi="ar-SA"/>
        </w:rPr>
        <w:t>（1）举办内控专题培训。根据财政部门内控建设要求、医院内控体系建设要点及医院情况，提供医院内部控制体系建设专题培训。针对诊断出的医院内控建设中存在的问题，以及解决办法进行培训讲解，帮助医院改进完善。现场培训不少于1次。</w:t>
      </w:r>
    </w:p>
    <w:p w14:paraId="503B79C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val="0"/>
        <w:snapToGrid w:val="0"/>
        <w:spacing w:beforeAutospacing="0" w:afterAutospacing="0" w:line="240" w:lineRule="auto"/>
        <w:ind w:left="0" w:right="0" w:firstLine="480" w:firstLineChars="200"/>
        <w:jc w:val="left"/>
        <w:textAlignment w:val="auto"/>
        <w:rPr>
          <w:rFonts w:hint="eastAsia" w:ascii="仿宋" w:hAnsi="仿宋" w:eastAsia="仿宋" w:cs="仿宋"/>
          <w:snapToGrid/>
          <w:kern w:val="2"/>
          <w:sz w:val="24"/>
          <w:szCs w:val="24"/>
          <w:highlight w:val="none"/>
          <w:lang w:val="en-US" w:eastAsia="zh-CN" w:bidi="ar-SA"/>
        </w:rPr>
      </w:pPr>
      <w:r>
        <w:rPr>
          <w:rFonts w:hint="eastAsia" w:ascii="仿宋" w:hAnsi="仿宋" w:eastAsia="仿宋" w:cs="仿宋"/>
          <w:snapToGrid/>
          <w:kern w:val="2"/>
          <w:sz w:val="24"/>
          <w:szCs w:val="24"/>
          <w:highlight w:val="none"/>
          <w:lang w:val="en-US" w:eastAsia="zh-CN" w:bidi="ar-SA"/>
        </w:rPr>
        <w:t>（2）梳理、评估医院内控建设及执行情况过程中，以集体座谈、与单位分管领导和部门主要负责人、业务经办人座谈等形式开展谈话调研，充分听取各级各类人员意见建议，并对其进行内控建设相关的辅导和沟通。专家讨论、沟通会可分科室进行，也可集中进行。</w:t>
      </w:r>
    </w:p>
    <w:p w14:paraId="41AFBD5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val="0"/>
        <w:snapToGrid w:val="0"/>
        <w:spacing w:beforeAutospacing="0" w:afterAutospacing="0" w:line="240" w:lineRule="auto"/>
        <w:ind w:left="0" w:right="0" w:firstLine="480" w:firstLineChars="200"/>
        <w:jc w:val="left"/>
        <w:textAlignment w:val="auto"/>
        <w:rPr>
          <w:rFonts w:hint="eastAsia" w:ascii="仿宋" w:hAnsi="仿宋" w:eastAsia="仿宋" w:cs="仿宋"/>
          <w:snapToGrid/>
          <w:kern w:val="2"/>
          <w:sz w:val="24"/>
          <w:szCs w:val="24"/>
          <w:highlight w:val="none"/>
          <w:lang w:val="en-US" w:eastAsia="zh-CN" w:bidi="ar-SA"/>
        </w:rPr>
      </w:pPr>
      <w:r>
        <w:rPr>
          <w:rFonts w:hint="eastAsia" w:ascii="仿宋" w:hAnsi="仿宋" w:eastAsia="仿宋" w:cs="仿宋"/>
          <w:snapToGrid/>
          <w:kern w:val="2"/>
          <w:sz w:val="24"/>
          <w:szCs w:val="24"/>
          <w:highlight w:val="none"/>
          <w:lang w:val="en-US" w:eastAsia="zh-CN" w:bidi="ar-SA"/>
        </w:rPr>
        <w:t>（3）制定优化方案。基于医院内部控制风险评估报告，结合医院实际，应用内控建设原理，围绕监督检查要求梳理检查响应材料缺少清单，并配合采购人设计切实可行的分步优化方案，提出书面管理意见及建议，对存在的问题提出整改建议和措施，并为逐步实施内部控制信息化建设提出可行性建议方案。</w:t>
      </w:r>
    </w:p>
    <w:p w14:paraId="5CD871B0">
      <w:pPr>
        <w:keepNext w:val="0"/>
        <w:keepLines w:val="0"/>
        <w:pageBreakBefore w:val="0"/>
        <w:wordWrap/>
        <w:overflowPunct/>
        <w:topLinePunct w:val="0"/>
        <w:bidi w:val="0"/>
        <w:spacing w:before="0" w:beforeLines="0" w:after="0" w:afterLines="0" w:line="240" w:lineRule="auto"/>
        <w:ind w:firstLine="480" w:firstLineChars="200"/>
        <w:jc w:val="left"/>
        <w:outlineLvl w:val="9"/>
        <w:rPr>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kern w:val="2"/>
          <w:sz w:val="24"/>
          <w:szCs w:val="24"/>
          <w:highlight w:val="none"/>
          <w:lang w:val="en-US" w:eastAsia="zh-CN" w:bidi="ar-SA"/>
        </w:rPr>
        <w:t>（4）分步优化制度。基于制度解读结果及医院内部管控需求，选择风险应对策略，形成多层面、多方位、灵活的管控机制。修订的管理制度须与各业务科室反复沟通、确认后定稿，形成内控制度。</w:t>
      </w:r>
    </w:p>
    <w:p w14:paraId="5DF9F08A">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val="0"/>
        <w:snapToGrid w:val="0"/>
        <w:spacing w:beforeAutospacing="0" w:afterAutospacing="0" w:line="240" w:lineRule="auto"/>
        <w:ind w:left="0" w:right="0" w:firstLine="480" w:firstLineChars="200"/>
        <w:jc w:val="left"/>
        <w:textAlignment w:val="auto"/>
        <w:rPr>
          <w:rFonts w:hint="eastAsia" w:ascii="仿宋" w:hAnsi="仿宋" w:eastAsia="仿宋" w:cs="仿宋"/>
          <w:snapToGrid/>
          <w:kern w:val="2"/>
          <w:sz w:val="24"/>
          <w:szCs w:val="24"/>
          <w:highlight w:val="none"/>
          <w:lang w:val="en-US" w:eastAsia="zh-CN" w:bidi="ar-SA"/>
        </w:rPr>
      </w:pPr>
      <w:r>
        <w:rPr>
          <w:rFonts w:hint="eastAsia" w:ascii="仿宋" w:hAnsi="仿宋" w:eastAsia="仿宋" w:cs="仿宋"/>
          <w:snapToGrid/>
          <w:kern w:val="2"/>
          <w:sz w:val="24"/>
          <w:szCs w:val="24"/>
          <w:highlight w:val="none"/>
          <w:lang w:val="en-US" w:eastAsia="zh-CN" w:bidi="ar-SA"/>
        </w:rPr>
        <w:t>（5）流程梳理再造。根据医院业务层面制度梳理出各项活动的流程，并结合医院实际执行情况绘制单位业务流程图。修订的业务流程图须与各业务科室反复沟通、确认后定稿。</w:t>
      </w:r>
    </w:p>
    <w:p w14:paraId="0115E706">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val="0"/>
        <w:snapToGrid w:val="0"/>
        <w:spacing w:beforeAutospacing="0" w:afterAutospacing="0" w:line="240" w:lineRule="auto"/>
        <w:ind w:left="0" w:right="0" w:firstLine="480" w:firstLineChars="200"/>
        <w:jc w:val="left"/>
        <w:textAlignment w:val="auto"/>
        <w:rPr>
          <w:rFonts w:hint="eastAsia" w:ascii="仿宋" w:hAnsi="仿宋" w:eastAsia="仿宋" w:cs="仿宋"/>
          <w:snapToGrid/>
          <w:kern w:val="2"/>
          <w:sz w:val="24"/>
          <w:szCs w:val="24"/>
          <w:highlight w:val="none"/>
          <w:lang w:val="en-US" w:eastAsia="zh-CN" w:bidi="ar-SA"/>
        </w:rPr>
      </w:pPr>
      <w:r>
        <w:rPr>
          <w:rFonts w:hint="eastAsia" w:ascii="仿宋" w:hAnsi="仿宋" w:eastAsia="仿宋" w:cs="仿宋"/>
          <w:snapToGrid/>
          <w:kern w:val="2"/>
          <w:sz w:val="24"/>
          <w:szCs w:val="24"/>
          <w:highlight w:val="none"/>
          <w:lang w:val="en-US" w:eastAsia="zh-CN" w:bidi="ar-SA"/>
        </w:rPr>
        <w:t>（6）表单绘制及优化。在现有管理制度、业务流程下，收集医院现行的各项表单，修订完善补充各个业务的表单样式，形成一套覆盖全套业务层面内控建设内容可执行的表单体系，确保各表单符合内控管理要求，为下一步实行信息系统流程建设奠定坚实基础。修订的业务表单须与各业务科室反复沟通、确认后定稿。</w:t>
      </w:r>
    </w:p>
    <w:p w14:paraId="51622A5D">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val="0"/>
        <w:snapToGrid w:val="0"/>
        <w:spacing w:beforeAutospacing="0" w:afterAutospacing="0" w:line="240" w:lineRule="auto"/>
        <w:ind w:left="0" w:right="0" w:firstLine="480" w:firstLineChars="200"/>
        <w:jc w:val="left"/>
        <w:textAlignment w:val="auto"/>
        <w:rPr>
          <w:rFonts w:hint="eastAsia" w:ascii="仿宋" w:hAnsi="仿宋" w:eastAsia="仿宋" w:cs="仿宋"/>
          <w:snapToGrid/>
          <w:kern w:val="2"/>
          <w:sz w:val="24"/>
          <w:szCs w:val="24"/>
          <w:highlight w:val="none"/>
          <w:lang w:val="en-US" w:eastAsia="zh-CN" w:bidi="ar-SA"/>
        </w:rPr>
      </w:pPr>
      <w:r>
        <w:rPr>
          <w:rFonts w:hint="eastAsia" w:ascii="仿宋" w:hAnsi="仿宋" w:eastAsia="仿宋" w:cs="仿宋"/>
          <w:snapToGrid/>
          <w:kern w:val="2"/>
          <w:sz w:val="24"/>
          <w:szCs w:val="24"/>
          <w:highlight w:val="none"/>
          <w:lang w:val="en-US" w:eastAsia="zh-CN" w:bidi="ar-SA"/>
        </w:rPr>
        <w:t>（7）形成内控手册征求意见稿。内控手册内容至少包括管理组织、岗位责任、业务制度、业务流程图、业务表单、业务风险点评估、评价与监督等，覆盖国卫财务发〔2020〕31号文件规定的所有内容。内控手册所有内容要求设计科学、合理，符合内控管理的决策、执行、监督三权分立、不相容岗位相互分离等内控管理要求。内控手册征求意见稿涉及各科室业务内容须与各科室充分沟通并由各科室审核通过，整个内控手册征求意见稿须经财务部逐项审核、确认已经各业务科室审核通过且无违背内控管理原则性要求之后方可定稿。</w:t>
      </w:r>
    </w:p>
    <w:p w14:paraId="0C639DEC">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val="0"/>
        <w:snapToGrid w:val="0"/>
        <w:spacing w:beforeAutospacing="0" w:afterAutospacing="0" w:line="240" w:lineRule="auto"/>
        <w:ind w:left="0" w:right="0" w:firstLine="480" w:firstLineChars="200"/>
        <w:jc w:val="left"/>
        <w:textAlignment w:val="auto"/>
        <w:rPr>
          <w:rFonts w:hint="eastAsia" w:ascii="仿宋" w:hAnsi="仿宋" w:eastAsia="仿宋" w:cs="仿宋"/>
          <w:snapToGrid/>
          <w:kern w:val="2"/>
          <w:sz w:val="24"/>
          <w:szCs w:val="24"/>
          <w:highlight w:val="none"/>
          <w:lang w:val="en-US" w:eastAsia="zh-CN" w:bidi="ar-SA"/>
        </w:rPr>
      </w:pPr>
      <w:r>
        <w:rPr>
          <w:rFonts w:hint="eastAsia" w:ascii="仿宋" w:hAnsi="仿宋" w:eastAsia="仿宋" w:cs="仿宋"/>
          <w:snapToGrid/>
          <w:kern w:val="2"/>
          <w:sz w:val="24"/>
          <w:szCs w:val="24"/>
          <w:highlight w:val="none"/>
          <w:lang w:val="en-US" w:eastAsia="zh-CN" w:bidi="ar-SA"/>
        </w:rPr>
        <w:t>（8）根据与单位沟通确认的修改意见，形成《内江市第一人民医院内部控制制度汇编》和《内江市第一人民医院内部控制手册及流程汇编》终稿。</w:t>
      </w:r>
    </w:p>
    <w:p w14:paraId="697DC89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val="0"/>
        <w:snapToGrid w:val="0"/>
        <w:spacing w:beforeAutospacing="0" w:afterAutospacing="0" w:line="240" w:lineRule="auto"/>
        <w:ind w:left="0" w:right="0" w:firstLine="480" w:firstLineChars="200"/>
        <w:jc w:val="left"/>
        <w:textAlignment w:val="auto"/>
        <w:rPr>
          <w:rFonts w:hint="eastAsia" w:ascii="仿宋" w:hAnsi="仿宋" w:eastAsia="仿宋" w:cs="仿宋"/>
          <w:b/>
          <w:bCs/>
          <w:snapToGrid/>
          <w:color w:val="auto"/>
          <w:kern w:val="2"/>
          <w:sz w:val="24"/>
          <w:szCs w:val="24"/>
          <w:highlight w:val="none"/>
          <w:shd w:val="clear" w:color="auto" w:fill="auto"/>
          <w:lang w:val="en-US" w:eastAsia="zh-CN" w:bidi="ar-SA"/>
        </w:rPr>
      </w:pPr>
      <w:r>
        <w:rPr>
          <w:rFonts w:hint="eastAsia" w:ascii="仿宋" w:hAnsi="仿宋" w:eastAsia="仿宋" w:cs="仿宋"/>
          <w:b/>
          <w:bCs/>
          <w:snapToGrid/>
          <w:color w:val="auto"/>
          <w:kern w:val="2"/>
          <w:sz w:val="24"/>
          <w:szCs w:val="24"/>
          <w:highlight w:val="none"/>
          <w:shd w:val="clear" w:color="auto" w:fill="auto"/>
          <w:lang w:val="en-US" w:eastAsia="zh-CN" w:bidi="ar-SA"/>
        </w:rPr>
        <w:t>★二、技术要求</w:t>
      </w:r>
    </w:p>
    <w:p w14:paraId="6EC8C113">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40" w:lineRule="auto"/>
        <w:ind w:left="0" w:right="0" w:firstLine="480" w:firstLineChars="200"/>
        <w:jc w:val="left"/>
        <w:textAlignment w:val="auto"/>
        <w:rPr>
          <w:rFonts w:hint="eastAsia" w:ascii="仿宋" w:hAnsi="仿宋" w:eastAsia="仿宋" w:cs="仿宋"/>
          <w:snapToGrid/>
          <w:color w:val="auto"/>
          <w:kern w:val="2"/>
          <w:sz w:val="24"/>
          <w:szCs w:val="24"/>
          <w:highlight w:val="none"/>
          <w:shd w:val="clear" w:color="auto" w:fill="auto"/>
          <w:lang w:val="en-US" w:eastAsia="zh-CN" w:bidi="ar-SA"/>
        </w:rPr>
      </w:pPr>
      <w:r>
        <w:rPr>
          <w:rFonts w:hint="eastAsia" w:ascii="仿宋" w:hAnsi="仿宋" w:eastAsia="仿宋" w:cs="仿宋"/>
          <w:snapToGrid/>
          <w:color w:val="auto"/>
          <w:kern w:val="2"/>
          <w:sz w:val="24"/>
          <w:szCs w:val="24"/>
          <w:highlight w:val="none"/>
          <w:shd w:val="clear" w:color="auto" w:fill="auto"/>
          <w:lang w:val="en-US" w:eastAsia="zh-CN" w:bidi="ar-SA"/>
        </w:rPr>
        <w:t>（一）根据国家卫健委《公立医院内部控制管理办法》国卫财务发〔2020〕31号第十九条、第二十条的要求，全面、系统、客观地识别、分析本院经济活动及相关业务活动存在的风险，确定相应的风险承受度及风险应对策略并出具风险评估报告。</w:t>
      </w:r>
    </w:p>
    <w:p w14:paraId="1F33E536">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40" w:lineRule="auto"/>
        <w:ind w:left="0" w:right="0" w:firstLine="480" w:firstLineChars="200"/>
        <w:jc w:val="left"/>
        <w:textAlignment w:val="auto"/>
        <w:rPr>
          <w:rFonts w:hint="eastAsia" w:ascii="仿宋" w:hAnsi="仿宋" w:eastAsia="仿宋" w:cs="仿宋"/>
          <w:snapToGrid/>
          <w:color w:val="auto"/>
          <w:kern w:val="2"/>
          <w:sz w:val="24"/>
          <w:szCs w:val="24"/>
          <w:highlight w:val="none"/>
          <w:shd w:val="clear" w:color="auto" w:fill="auto"/>
          <w:lang w:val="en-US" w:eastAsia="zh-CN" w:bidi="ar-SA"/>
        </w:rPr>
      </w:pPr>
      <w:r>
        <w:rPr>
          <w:rFonts w:hint="eastAsia" w:ascii="仿宋" w:hAnsi="仿宋" w:eastAsia="仿宋" w:cs="仿宋"/>
          <w:snapToGrid/>
          <w:color w:val="auto"/>
          <w:kern w:val="2"/>
          <w:sz w:val="24"/>
          <w:szCs w:val="24"/>
          <w:highlight w:val="none"/>
          <w:shd w:val="clear" w:color="auto" w:fill="auto"/>
          <w:lang w:val="en-US" w:eastAsia="zh-CN" w:bidi="ar-SA"/>
        </w:rPr>
        <w:t>（二）按照《公立医院内部控制管理办法》（国卫财务发[2020]31号）第四十九条的要求，对医院内部控制建立和实施的有效性进行评价并按《公立医院内部控制管理办法》（国卫财务发[2020]31号）第五十条的要求出具内部控制评价报告。</w:t>
      </w:r>
    </w:p>
    <w:p w14:paraId="7B985170">
      <w:pPr>
        <w:keepNext w:val="0"/>
        <w:keepLines w:val="0"/>
        <w:pageBreakBefore w:val="0"/>
        <w:wordWrap/>
        <w:overflowPunct/>
        <w:topLinePunct w:val="0"/>
        <w:bidi w:val="0"/>
        <w:spacing w:before="0" w:beforeLines="0" w:after="0" w:afterLines="0" w:line="240" w:lineRule="auto"/>
        <w:ind w:firstLine="480" w:firstLineChars="200"/>
        <w:jc w:val="left"/>
        <w:outlineLvl w:val="9"/>
        <w:rPr>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color w:val="auto"/>
          <w:kern w:val="2"/>
          <w:sz w:val="24"/>
          <w:szCs w:val="24"/>
          <w:highlight w:val="none"/>
          <w:shd w:val="clear" w:color="auto" w:fill="auto"/>
          <w:lang w:val="en-US" w:eastAsia="zh-CN" w:bidi="ar-SA"/>
        </w:rPr>
        <w:t>（三）根据《关于印发&lt;关于进一步加强公立医院内部控制建设的指导意见&gt;的通知》（财会〔2023〕31号）文件精神、《公立医院内部控制管理办法》的规定，帮助医院建立全面、系统、科学、有效的内部控制体系，确保医院内部控制建设形成合规和有效的内控机制，形成《内江市第一人民医院内部控制手册》（最终稿）：一是制度建设，按《公立医院内部控制管理办法》、根据基础性评价工作结果，对医院十二大业务进行制度的制定、完善和修订，形成《内江市第一人民医院内部控制制度汇编》；二是流程建设，对医院的十二大经济业务的相关流程进行梳理和完善，并绘制流程图，形成《内江市第一人民医院内部控制手册流程汇编》；三是其他，包括但不限于对表单、管理台账等进行设计或完善。具体服务内容包括但不限于：</w:t>
      </w:r>
    </w:p>
    <w:p w14:paraId="4E44F81B">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40" w:lineRule="auto"/>
        <w:ind w:left="0" w:right="0" w:firstLine="480" w:firstLineChars="200"/>
        <w:jc w:val="left"/>
        <w:textAlignment w:val="auto"/>
        <w:rPr>
          <w:rFonts w:hint="eastAsia" w:ascii="仿宋" w:hAnsi="仿宋" w:eastAsia="仿宋" w:cs="仿宋"/>
          <w:snapToGrid/>
          <w:color w:val="auto"/>
          <w:kern w:val="2"/>
          <w:sz w:val="24"/>
          <w:szCs w:val="24"/>
          <w:highlight w:val="none"/>
          <w:shd w:val="clear" w:color="auto" w:fill="auto"/>
          <w:lang w:val="en-US" w:eastAsia="zh-CN" w:bidi="ar-SA"/>
        </w:rPr>
      </w:pPr>
      <w:r>
        <w:rPr>
          <w:rFonts w:hint="eastAsia" w:ascii="仿宋" w:hAnsi="仿宋" w:eastAsia="仿宋" w:cs="仿宋"/>
          <w:snapToGrid/>
          <w:color w:val="auto"/>
          <w:kern w:val="2"/>
          <w:sz w:val="24"/>
          <w:szCs w:val="24"/>
          <w:highlight w:val="none"/>
          <w:shd w:val="clear" w:color="auto" w:fill="auto"/>
          <w:lang w:val="en-US" w:eastAsia="zh-CN" w:bidi="ar-SA"/>
        </w:rPr>
        <w:t>1.单位层面内部控制建设：包括单位决策机制，内部管理机构设置及职责分工，决策和执行的制衡机制；内部管理制度的健全；关键岗位管理等。</w:t>
      </w:r>
    </w:p>
    <w:p w14:paraId="346473DD">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40" w:lineRule="auto"/>
        <w:ind w:left="0" w:right="0" w:firstLine="480" w:firstLineChars="200"/>
        <w:jc w:val="left"/>
        <w:textAlignment w:val="auto"/>
        <w:rPr>
          <w:rFonts w:hint="eastAsia" w:ascii="仿宋" w:hAnsi="仿宋" w:eastAsia="仿宋" w:cs="仿宋"/>
          <w:snapToGrid/>
          <w:color w:val="auto"/>
          <w:kern w:val="2"/>
          <w:sz w:val="24"/>
          <w:szCs w:val="24"/>
          <w:highlight w:val="none"/>
          <w:shd w:val="clear" w:color="auto" w:fill="auto"/>
          <w:lang w:val="en-US" w:eastAsia="zh-CN" w:bidi="ar-SA"/>
        </w:rPr>
      </w:pPr>
      <w:r>
        <w:rPr>
          <w:rFonts w:hint="eastAsia" w:ascii="仿宋" w:hAnsi="仿宋" w:eastAsia="仿宋" w:cs="仿宋"/>
          <w:snapToGrid/>
          <w:color w:val="auto"/>
          <w:kern w:val="2"/>
          <w:sz w:val="24"/>
          <w:szCs w:val="24"/>
          <w:highlight w:val="none"/>
          <w:shd w:val="clear" w:color="auto" w:fill="auto"/>
          <w:lang w:val="en-US" w:eastAsia="zh-CN" w:bidi="ar-SA"/>
        </w:rPr>
        <w:t>2.业务层面内部控制建设：建立健全各业务活动的管理制度和业务流程规范，包括：预算管理、收支业务管理、采购业务管理、资产管理、建设项目管理、合同管理、医疗业务管理、科研项目和临床试验项目管理、教学管理、信息系统管理、互联网诊疗管理、医联体管理十二大业务活动合规性和有效性建设。其中：</w:t>
      </w:r>
    </w:p>
    <w:p w14:paraId="541D8CB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b/>
          <w:bCs/>
          <w:snapToGrid/>
          <w:color w:val="auto"/>
          <w:kern w:val="2"/>
          <w:sz w:val="24"/>
          <w:szCs w:val="24"/>
          <w:highlight w:val="none"/>
          <w:shd w:val="clear" w:color="auto" w:fill="auto"/>
          <w:lang w:val="en-US" w:eastAsia="zh-CN" w:bidi="ar-SA"/>
        </w:rPr>
      </w:pPr>
      <w:r>
        <w:rPr>
          <w:rFonts w:hint="eastAsia" w:ascii="仿宋" w:hAnsi="仿宋" w:eastAsia="仿宋" w:cs="仿宋"/>
          <w:b/>
          <w:bCs/>
          <w:snapToGrid/>
          <w:color w:val="auto"/>
          <w:kern w:val="2"/>
          <w:sz w:val="24"/>
          <w:szCs w:val="24"/>
          <w:highlight w:val="none"/>
          <w:shd w:val="clear" w:color="auto" w:fill="auto"/>
          <w:lang w:val="en-US" w:eastAsia="zh-CN" w:bidi="ar-SA"/>
        </w:rPr>
        <w:t>采购部</w:t>
      </w:r>
    </w:p>
    <w:p w14:paraId="2314F111">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1、采购管理</w:t>
      </w:r>
    </w:p>
    <w:p w14:paraId="22C74714">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1.1明确各部门职能职责，实现采购业务归口管理。</w:t>
      </w:r>
    </w:p>
    <w:p w14:paraId="5DB1B07B">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1.2按照预算和计划组织采购业务。</w:t>
      </w:r>
    </w:p>
    <w:p w14:paraId="6B03650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1.3按照规定组织采购活动和执行验收程序。</w:t>
      </w:r>
    </w:p>
    <w:p w14:paraId="73E3E3C1">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1.4按照规定保管采购业务相关档案等。</w:t>
      </w:r>
    </w:p>
    <w:p w14:paraId="5A2AE499">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2、建立政府采购管理制度、自行采购管理制度</w:t>
      </w:r>
    </w:p>
    <w:p w14:paraId="2703FF9B">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2.1明确采购管理内部控制的决策、管理、执行、监督机构的职责。</w:t>
      </w:r>
    </w:p>
    <w:p w14:paraId="458CA1A7">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2.2明确采购管理各业务环节的管理要求。</w:t>
      </w:r>
    </w:p>
    <w:p w14:paraId="2DF66E67">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3、采购管理流程梳理及流程图编制情况</w:t>
      </w:r>
    </w:p>
    <w:p w14:paraId="13DD2F6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3.1编制采购管理各关键业务流程图。</w:t>
      </w:r>
    </w:p>
    <w:p w14:paraId="1FE099B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3.2编制采购管理各关键业务流程图的流程说明。</w:t>
      </w:r>
    </w:p>
    <w:p w14:paraId="7D26ED6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3.3管理各关键业务流程图、流程说明需体现与本领域及其他领域之间的流程衔接关系。</w:t>
      </w:r>
    </w:p>
    <w:p w14:paraId="2D9A500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4、编制采购管理关键流程一致性情况。</w:t>
      </w:r>
    </w:p>
    <w:p w14:paraId="292735DB">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5、采购风险控制</w:t>
      </w:r>
    </w:p>
    <w:p w14:paraId="32077FE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5.1分离不相容岗位，明确岗位及人员。</w:t>
      </w:r>
    </w:p>
    <w:p w14:paraId="01DE8E4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5.2其他。</w:t>
      </w:r>
    </w:p>
    <w:p w14:paraId="45EDDF46">
      <w:pPr>
        <w:keepNext w:val="0"/>
        <w:keepLines w:val="0"/>
        <w:pageBreakBefore w:val="0"/>
        <w:widowControl w:val="0"/>
        <w:numPr>
          <w:ilvl w:val="-1"/>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b/>
          <w:bCs/>
          <w:snapToGrid/>
          <w:kern w:val="2"/>
          <w:sz w:val="24"/>
          <w:szCs w:val="24"/>
          <w:highlight w:val="none"/>
          <w:lang w:val="en-US" w:eastAsia="zh-CN" w:bidi="ar-SA"/>
        </w:rPr>
      </w:pPr>
      <w:r>
        <w:rPr>
          <w:rFonts w:hint="eastAsia" w:ascii="仿宋" w:hAnsi="仿宋" w:eastAsia="仿宋" w:cs="仿宋"/>
          <w:b/>
          <w:bCs/>
          <w:snapToGrid/>
          <w:kern w:val="2"/>
          <w:sz w:val="24"/>
          <w:szCs w:val="24"/>
          <w:highlight w:val="none"/>
          <w:lang w:val="en-US" w:eastAsia="zh-CN" w:bidi="ar-SA"/>
        </w:rPr>
        <w:t>科教科</w:t>
      </w:r>
    </w:p>
    <w:p w14:paraId="4F73E3C9">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根据国家卫健委《公立医院内部控制管理办法》第二十条、二十八条、三十五条、三十六条规定，对以下方面工作、现行管理制度进行评估，并帮助建立合理可行的相关管理制度和机制：</w:t>
      </w:r>
    </w:p>
    <w:p w14:paraId="69C4F49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1、科研项目立项论证和立项管理规定是否合理，明确科研合作单位资质要求，帮助建立合理可行的科研项目监督机制。</w:t>
      </w:r>
    </w:p>
    <w:p w14:paraId="6F51E4F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2、科技奖励范围、权重是否合理。</w:t>
      </w:r>
    </w:p>
    <w:p w14:paraId="07D72DAE">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3、帮助建立合理可行的住培、教学监督机制；住培、教学师资教学补助标准是否合理。</w:t>
      </w:r>
    </w:p>
    <w:p w14:paraId="2CF3C914">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4、职工外出参会培训审批流程、频次规定、考核方法等是否合理，是否与医院经济现状和高质量发展需求相适应。</w:t>
      </w:r>
    </w:p>
    <w:p w14:paraId="205B0434">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color w:val="auto"/>
          <w:kern w:val="2"/>
          <w:sz w:val="24"/>
          <w:szCs w:val="24"/>
          <w:highlight w:val="none"/>
          <w:lang w:val="en-US" w:eastAsia="zh-CN" w:bidi="ar-SA"/>
        </w:rPr>
      </w:pPr>
      <w:r>
        <w:rPr>
          <w:rFonts w:hint="eastAsia" w:ascii="仿宋" w:hAnsi="仿宋" w:eastAsia="仿宋" w:cs="仿宋"/>
          <w:snapToGrid/>
          <w:color w:val="auto"/>
          <w:kern w:val="2"/>
          <w:sz w:val="24"/>
          <w:szCs w:val="24"/>
          <w:highlight w:val="none"/>
          <w:lang w:val="en-US" w:eastAsia="zh-CN" w:bidi="ar-SA"/>
        </w:rPr>
        <w:t>5、评估现行进修收费标准是否合理；</w:t>
      </w:r>
    </w:p>
    <w:p w14:paraId="175CFB9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color w:val="auto"/>
          <w:kern w:val="2"/>
          <w:sz w:val="24"/>
          <w:szCs w:val="24"/>
          <w:highlight w:val="none"/>
          <w:lang w:val="en-US" w:eastAsia="zh-CN" w:bidi="ar-SA"/>
        </w:rPr>
      </w:pPr>
      <w:r>
        <w:rPr>
          <w:rFonts w:hint="eastAsia" w:ascii="仿宋" w:hAnsi="仿宋" w:eastAsia="仿宋" w:cs="仿宋"/>
          <w:snapToGrid/>
          <w:color w:val="auto"/>
          <w:kern w:val="2"/>
          <w:sz w:val="24"/>
          <w:szCs w:val="24"/>
          <w:highlight w:val="none"/>
          <w:lang w:val="en-US" w:eastAsia="zh-CN" w:bidi="ar-SA"/>
        </w:rPr>
        <w:t>6、评估康复治疗师规范化培训是否必要，学员生活补助、师资带教补助标准是否合理；</w:t>
      </w:r>
    </w:p>
    <w:p w14:paraId="7E64D81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color w:val="auto"/>
          <w:kern w:val="2"/>
          <w:sz w:val="24"/>
          <w:szCs w:val="24"/>
          <w:highlight w:val="none"/>
          <w:lang w:val="en-US" w:eastAsia="zh-CN" w:bidi="ar-SA"/>
        </w:rPr>
      </w:pPr>
      <w:r>
        <w:rPr>
          <w:rFonts w:hint="eastAsia" w:ascii="仿宋" w:hAnsi="仿宋" w:eastAsia="仿宋" w:cs="仿宋"/>
          <w:snapToGrid/>
          <w:color w:val="auto"/>
          <w:kern w:val="2"/>
          <w:sz w:val="24"/>
          <w:szCs w:val="24"/>
          <w:highlight w:val="none"/>
          <w:lang w:val="en-US" w:eastAsia="zh-CN" w:bidi="ar-SA"/>
        </w:rPr>
        <w:t>7、评估牵头部分的预算编制部分是否合理；</w:t>
      </w:r>
    </w:p>
    <w:p w14:paraId="4C35F19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color w:val="auto"/>
          <w:kern w:val="2"/>
          <w:sz w:val="24"/>
          <w:szCs w:val="24"/>
          <w:highlight w:val="none"/>
          <w:lang w:val="en-US" w:eastAsia="zh-CN" w:bidi="ar-SA"/>
        </w:rPr>
      </w:pPr>
      <w:r>
        <w:rPr>
          <w:rFonts w:hint="eastAsia" w:ascii="仿宋" w:hAnsi="仿宋" w:eastAsia="仿宋" w:cs="仿宋"/>
          <w:snapToGrid/>
          <w:color w:val="auto"/>
          <w:kern w:val="2"/>
          <w:sz w:val="24"/>
          <w:szCs w:val="24"/>
          <w:highlight w:val="none"/>
          <w:lang w:val="en-US" w:eastAsia="zh-CN" w:bidi="ar-SA"/>
        </w:rPr>
        <w:t>8、帮助评估现有信息系统是否能满足工作需要。</w:t>
      </w:r>
    </w:p>
    <w:p w14:paraId="0A0B01D7">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b/>
          <w:bCs/>
          <w:snapToGrid/>
          <w:kern w:val="2"/>
          <w:sz w:val="24"/>
          <w:szCs w:val="24"/>
          <w:highlight w:val="none"/>
          <w:lang w:val="en-US" w:eastAsia="zh-CN" w:bidi="ar-SA"/>
        </w:rPr>
      </w:pPr>
      <w:r>
        <w:rPr>
          <w:rFonts w:hint="eastAsia" w:ascii="仿宋" w:hAnsi="仿宋" w:eastAsia="仿宋" w:cs="仿宋"/>
          <w:b/>
          <w:bCs/>
          <w:snapToGrid/>
          <w:kern w:val="2"/>
          <w:sz w:val="24"/>
          <w:szCs w:val="24"/>
          <w:highlight w:val="none"/>
          <w:lang w:val="en-US" w:eastAsia="zh-CN" w:bidi="ar-SA"/>
        </w:rPr>
        <w:t>财务科</w:t>
      </w:r>
    </w:p>
    <w:p w14:paraId="3599126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1、政府会计制度改革</w:t>
      </w:r>
    </w:p>
    <w:p w14:paraId="27E52B5E">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1.1是否有效执行政府会计准则制度。</w:t>
      </w:r>
    </w:p>
    <w:p w14:paraId="18AA214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1.2是否按照政府会计准则制度要求开展预算会计核算和财务会计核算。</w:t>
      </w:r>
    </w:p>
    <w:p w14:paraId="4C4A9F1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1.3是否对固定资产和无形资产计提折旧或摊销。</w:t>
      </w:r>
    </w:p>
    <w:p w14:paraId="02A240B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1.4本年编制政府部门财务报告时，部门及所属单位之间发生的经济业务或事项是否在抵销前进行确认。</w:t>
      </w:r>
    </w:p>
    <w:p w14:paraId="3C3F500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1.5是否将基本建设投资、公共基础设施、保障性住房、政府储备物资、国有文物文化资产等纳入统一账簿进行会计核算。</w:t>
      </w:r>
    </w:p>
    <w:p w14:paraId="281A683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2、预算管理</w:t>
      </w:r>
    </w:p>
    <w:p w14:paraId="43C917CE">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2.1不相容岗位是否分离，是否明确了岗位及人员，且两个岗位为不同的人员。如：预算编制与审核；预算审批与执行；预算执行与分析；决算编制与审核。</w:t>
      </w:r>
    </w:p>
    <w:p w14:paraId="684F02F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2.2预算管理制度。</w:t>
      </w:r>
    </w:p>
    <w:p w14:paraId="1B599E3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2.3预算管理流程梳理及流程图编制情况。</w:t>
      </w:r>
    </w:p>
    <w:p w14:paraId="1301662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2.3.1关键业务流程图和流程说明。</w:t>
      </w:r>
    </w:p>
    <w:p w14:paraId="7052696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2.3.1.1项目申报及审批流程。</w:t>
      </w:r>
    </w:p>
    <w:p w14:paraId="29C17E37">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2.3.1.2部门三年规划编制及审批流程。</w:t>
      </w:r>
    </w:p>
    <w:p w14:paraId="3E0B0E71">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2.3.1.3收入预算编制及审批流程。</w:t>
      </w:r>
    </w:p>
    <w:p w14:paraId="108928B4">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2.3.1.4基本支出预算编制及审批流程。</w:t>
      </w:r>
    </w:p>
    <w:p w14:paraId="2D6D2157">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2.3.1.5项目支出预算编制及审批流程。</w:t>
      </w:r>
    </w:p>
    <w:p w14:paraId="7D54F75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2.3.1.6转移支付项目预算编制及审批流程。</w:t>
      </w:r>
    </w:p>
    <w:p w14:paraId="77407DA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2.3.1.7政府采购预算编制及审批流程。</w:t>
      </w:r>
    </w:p>
    <w:p w14:paraId="294CCC0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2.3.1.8资产配置预算编制及审批流程。</w:t>
      </w:r>
    </w:p>
    <w:p w14:paraId="7FD1730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2.3.1.9年度预算编制及审批流程。</w:t>
      </w:r>
    </w:p>
    <w:p w14:paraId="6F72593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2.3.1.10预算内部分解下达流程。</w:t>
      </w:r>
    </w:p>
    <w:p w14:paraId="2125B34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2.3.1.11预算执行与分析流程。</w:t>
      </w:r>
    </w:p>
    <w:p w14:paraId="52670EB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2.3.1.12预算调整流程。</w:t>
      </w:r>
    </w:p>
    <w:p w14:paraId="35FA388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2.3.1.13预算调剂流程。</w:t>
      </w:r>
    </w:p>
    <w:p w14:paraId="589991C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2.3.1.14决算编制及审批流程。</w:t>
      </w:r>
    </w:p>
    <w:p w14:paraId="499DC90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2.3.1.15预算绩效评价流程。</w:t>
      </w:r>
    </w:p>
    <w:p w14:paraId="467C6C5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2.3.1.16预决算公开流程等。</w:t>
      </w:r>
    </w:p>
    <w:p w14:paraId="27E0AE8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2.3.2预算管理各关键业务流程图、流程说明与本领域及其他领域之间的流程衔接关系，如预算执行流程与采购、资产等流程的衔接；预算分解下达流程与收支领域内支出事前流程的衔接。</w:t>
      </w:r>
    </w:p>
    <w:p w14:paraId="3A423D8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2.3.3预算管理一致性。</w:t>
      </w:r>
    </w:p>
    <w:p w14:paraId="631E0707">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2.4预算管理关键流程执行情况。</w:t>
      </w:r>
    </w:p>
    <w:p w14:paraId="52018DE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2.5预算管理要求在信息系统中的运行情况。</w:t>
      </w:r>
    </w:p>
    <w:p w14:paraId="3EFC4AD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2.5.1预算管理的不相容岗位分离要求。</w:t>
      </w:r>
    </w:p>
    <w:p w14:paraId="4EE7B21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2.5.2部门职能及岗位职责及权限控制要求。</w:t>
      </w:r>
    </w:p>
    <w:p w14:paraId="435B8DAE">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2.5.3关键业务流程固化要求。</w:t>
      </w:r>
    </w:p>
    <w:p w14:paraId="43C42BF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2.5.3.1项目申报及审批流程。</w:t>
      </w:r>
    </w:p>
    <w:p w14:paraId="7C2C604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2.5.3.2基本支出预算编制及审批流程。</w:t>
      </w:r>
    </w:p>
    <w:p w14:paraId="29C5F66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2.5.3.3项目支出预算编制及审批流程。</w:t>
      </w:r>
    </w:p>
    <w:p w14:paraId="35E7D63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2.5.3.4转移支付项目预算编制及审批流程。</w:t>
      </w:r>
    </w:p>
    <w:p w14:paraId="0891145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2.5.3.5年度预算编制及审批流程。</w:t>
      </w:r>
    </w:p>
    <w:p w14:paraId="7B0B64A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2.5.3.6预算调整流程。</w:t>
      </w:r>
    </w:p>
    <w:p w14:paraId="228ED7B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2.5.3.7预算调剂流程。</w:t>
      </w:r>
    </w:p>
    <w:p w14:paraId="63A0596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2.5.4关键业务流程中的关键控制点固化要求、关键控制点对应的控制要素、控制要求、控制依据固化要求、关键控制点的单据固化要求、关键控制点的时限固化要求。</w:t>
      </w:r>
    </w:p>
    <w:p w14:paraId="33AA8A79">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3、收支管理</w:t>
      </w:r>
    </w:p>
    <w:p w14:paraId="0F46D4F1">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3.1不相容岗位是否分离，是否明确了岗位及人员，且两个岗位为不同的人员。如：收款与会计核算；支出申请与审批；支出审批与付款；业务经办与会计核算。</w:t>
      </w:r>
    </w:p>
    <w:p w14:paraId="534592AB">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3.2收支管理制度建立情况。</w:t>
      </w:r>
    </w:p>
    <w:p w14:paraId="6520529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3.2.1明确收支管理内部控制的决策、管理、执行、监督机构的职责。</w:t>
      </w:r>
    </w:p>
    <w:p w14:paraId="358A03AE">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3.2.2明确收支管理各业务环节的管理要求（含：控制目标、控制要求、与其他环节的衔接控制要求等）：包括收入管理、支出管理、票据管理、公务卡管理、银行账户管理、财务印章管理、收入及支出分析管理、会计档案管理、债务管理（事业单位）等环节。</w:t>
      </w:r>
    </w:p>
    <w:p w14:paraId="5C0B1FD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3.3收支管理流程梳理及流程图编制情况。</w:t>
      </w:r>
    </w:p>
    <w:p w14:paraId="1AD600D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3.3.1编制收支管理各关键业务流程图（含：主责部门、主责岗位、控制动作、控制文档、风险点、控制点）。</w:t>
      </w:r>
    </w:p>
    <w:p w14:paraId="20B9419E">
      <w:pPr>
        <w:keepNext w:val="0"/>
        <w:keepLines w:val="0"/>
        <w:pageBreakBefore w:val="0"/>
        <w:wordWrap/>
        <w:overflowPunct/>
        <w:topLinePunct w:val="0"/>
        <w:bidi w:val="0"/>
        <w:spacing w:before="0" w:beforeLines="0" w:after="0" w:afterLines="0" w:line="240" w:lineRule="auto"/>
        <w:ind w:firstLine="480" w:firstLineChars="200"/>
        <w:jc w:val="left"/>
        <w:outlineLvl w:val="9"/>
        <w:rPr>
          <w:rFonts w:hint="eastAsia" w:ascii="仿宋" w:hAnsi="仿宋" w:eastAsia="仿宋" w:cs="仿宋"/>
          <w:color w:val="auto"/>
          <w:kern w:val="2"/>
          <w:sz w:val="24"/>
          <w:szCs w:val="24"/>
          <w:highlight w:val="none"/>
          <w:shd w:val="clear" w:color="auto" w:fill="auto"/>
          <w:lang w:val="en-US" w:eastAsia="zh-CN" w:bidi="ar-SA"/>
        </w:rPr>
      </w:pPr>
      <w:r>
        <w:rPr>
          <w:rFonts w:hint="eastAsia" w:ascii="仿宋" w:hAnsi="仿宋" w:eastAsia="仿宋" w:cs="仿宋"/>
          <w:kern w:val="2"/>
          <w:sz w:val="24"/>
          <w:szCs w:val="24"/>
          <w:highlight w:val="none"/>
          <w:vertAlign w:val="baseline"/>
          <w:lang w:val="en-US" w:eastAsia="zh-CN" w:bidi="ar-SA"/>
        </w:rPr>
        <w:t>3.3.2编制收支管理各关键业务流程图的流程说明（含：主责部门、主责岗位、控制动作、控制要素、控制要求、控制文档）。</w:t>
      </w:r>
    </w:p>
    <w:p w14:paraId="68B1CD3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3.3.2.1收入登记及入账流程。</w:t>
      </w:r>
    </w:p>
    <w:p w14:paraId="349C5FE4">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3.3.2.2支出事前申请及审批流程。</w:t>
      </w:r>
    </w:p>
    <w:p w14:paraId="17E2D047">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3.3.2.3用款计划申请及审批流程。</w:t>
      </w:r>
    </w:p>
    <w:p w14:paraId="6A6462F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val="0"/>
        <w:snapToGrid w:val="0"/>
        <w:spacing w:beforeAutospacing="0" w:afterAutospacing="0" w:line="240" w:lineRule="auto"/>
        <w:ind w:left="0" w:right="0"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3.3.2.4借款申请及审批流程。</w:t>
      </w:r>
    </w:p>
    <w:p w14:paraId="4FB7050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3.2.5报销申请及审批流程。</w:t>
      </w:r>
    </w:p>
    <w:p w14:paraId="0B76AF2E">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3.3.3收支管理各关键业务流程图、流程说明体现与本领域及其他领域之间的流程衔接关系，如支出事前申请流程，其与政府采购领域内采购需求论证流程相衔接。</w:t>
      </w:r>
    </w:p>
    <w:p w14:paraId="1DAE1F4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3.4收支管理关键流程一致性。</w:t>
      </w:r>
    </w:p>
    <w:p w14:paraId="049EACC7">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3.5收支管理关键流程执行情况。</w:t>
      </w:r>
    </w:p>
    <w:p w14:paraId="316067C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按照流程要求进行审批控制；保留相应的过程性记录；保证业务的有效实施；是否包括关键性流程，如收入登记及入账流程；非税收入收取及缴库流程；支出事前申请及审批流程；用款计划申请及审批流程；借款申请及审批流程；报销申请及审批流程；财政直接支付申请及审批流程；财政授权支付申请及审批流程；财政票据年度用票计划申报及审核流程等等。</w:t>
      </w:r>
    </w:p>
    <w:p w14:paraId="5AB4FEE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3.6收支管理要求在信息系统中的运行情况。</w:t>
      </w:r>
    </w:p>
    <w:p w14:paraId="4CF1D22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3.6.1收支管理的不相容岗位分离要求。</w:t>
      </w:r>
    </w:p>
    <w:p w14:paraId="2A15193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3.6.2部门职能及岗位职责及权限控制要求。</w:t>
      </w:r>
    </w:p>
    <w:p w14:paraId="07B0F7B9">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3.6.3关键业务流程固化要求。</w:t>
      </w:r>
    </w:p>
    <w:p w14:paraId="56987C8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b w:val="0"/>
          <w:bCs w:val="0"/>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3.6.4关键业务流程中的关键控制点固化要求、关键控制点对应的控制要素、控制要求、控制依据固化要求、关键控制点的单据固化要求、关键控制点的时限固化要求。</w:t>
      </w:r>
    </w:p>
    <w:p w14:paraId="7EECA171">
      <w:pPr>
        <w:keepNext w:val="0"/>
        <w:keepLines w:val="0"/>
        <w:pageBreakBefore w:val="0"/>
        <w:widowControl w:val="0"/>
        <w:numPr>
          <w:ilvl w:val="-1"/>
          <w:numId w:val="0"/>
        </w:numPr>
        <w:kinsoku/>
        <w:wordWrap/>
        <w:overflowPunct/>
        <w:topLinePunct w:val="0"/>
        <w:autoSpaceDE/>
        <w:autoSpaceDN/>
        <w:bidi w:val="0"/>
        <w:adjustRightInd w:val="0"/>
        <w:snapToGrid w:val="0"/>
        <w:spacing w:line="240" w:lineRule="auto"/>
        <w:ind w:firstLine="480" w:firstLineChars="200"/>
        <w:jc w:val="left"/>
        <w:textAlignment w:val="auto"/>
        <w:rPr>
          <w:rFonts w:hint="eastAsia" w:ascii="仿宋" w:hAnsi="仿宋" w:eastAsia="仿宋" w:cs="仿宋"/>
          <w:b/>
          <w:bCs/>
          <w:snapToGrid/>
          <w:kern w:val="2"/>
          <w:sz w:val="24"/>
          <w:szCs w:val="24"/>
          <w:highlight w:val="none"/>
          <w:lang w:val="en-US" w:eastAsia="zh-CN" w:bidi="ar-SA"/>
        </w:rPr>
      </w:pPr>
      <w:r>
        <w:rPr>
          <w:rFonts w:hint="eastAsia" w:ascii="仿宋" w:hAnsi="仿宋" w:eastAsia="仿宋" w:cs="仿宋"/>
          <w:b/>
          <w:bCs/>
          <w:snapToGrid/>
          <w:kern w:val="2"/>
          <w:sz w:val="24"/>
          <w:szCs w:val="24"/>
          <w:highlight w:val="none"/>
          <w:lang w:val="en-US" w:eastAsia="zh-CN" w:bidi="ar-SA"/>
        </w:rPr>
        <w:t>GCP/药剂科</w:t>
      </w:r>
    </w:p>
    <w:p w14:paraId="462B4040">
      <w:pPr>
        <w:keepNext w:val="0"/>
        <w:keepLines w:val="0"/>
        <w:pageBreakBefore w:val="0"/>
        <w:widowControl w:val="0"/>
        <w:numPr>
          <w:ilvl w:val="-1"/>
          <w:numId w:val="0"/>
        </w:numPr>
        <w:kinsoku/>
        <w:wordWrap/>
        <w:overflowPunct/>
        <w:topLinePunct w:val="0"/>
        <w:autoSpaceDE/>
        <w:autoSpaceDN/>
        <w:bidi w:val="0"/>
        <w:adjustRightInd w:val="0"/>
        <w:snapToGrid w:val="0"/>
        <w:spacing w:line="240" w:lineRule="auto"/>
        <w:ind w:firstLine="480" w:firstLineChars="200"/>
        <w:jc w:val="left"/>
        <w:textAlignment w:val="auto"/>
        <w:rPr>
          <w:rFonts w:hint="eastAsia" w:ascii="仿宋" w:hAnsi="仿宋" w:eastAsia="仿宋" w:cs="仿宋"/>
          <w:b w:val="0"/>
          <w:bCs w:val="0"/>
          <w:snapToGrid/>
          <w:kern w:val="2"/>
          <w:sz w:val="24"/>
          <w:szCs w:val="24"/>
          <w:highlight w:val="none"/>
          <w:vertAlign w:val="baseline"/>
          <w:lang w:val="en-US" w:eastAsia="zh-CN" w:bidi="ar-SA"/>
        </w:rPr>
      </w:pPr>
      <w:r>
        <w:rPr>
          <w:rFonts w:hint="eastAsia" w:ascii="仿宋" w:hAnsi="仿宋" w:eastAsia="仿宋" w:cs="仿宋"/>
          <w:b w:val="0"/>
          <w:bCs w:val="0"/>
          <w:snapToGrid/>
          <w:kern w:val="2"/>
          <w:sz w:val="24"/>
          <w:szCs w:val="24"/>
          <w:highlight w:val="none"/>
          <w:vertAlign w:val="baseline"/>
          <w:lang w:val="en-US" w:eastAsia="zh-CN" w:bidi="ar-SA"/>
        </w:rPr>
        <w:t>1、审核医院现有药品采购内控制度，提出修订建议，并协助修订。</w:t>
      </w:r>
    </w:p>
    <w:p w14:paraId="07659119">
      <w:pPr>
        <w:keepNext w:val="0"/>
        <w:keepLines w:val="0"/>
        <w:pageBreakBefore w:val="0"/>
        <w:widowControl w:val="0"/>
        <w:numPr>
          <w:ilvl w:val="-1"/>
          <w:numId w:val="0"/>
        </w:numPr>
        <w:kinsoku/>
        <w:wordWrap/>
        <w:overflowPunct/>
        <w:topLinePunct w:val="0"/>
        <w:autoSpaceDE/>
        <w:autoSpaceDN/>
        <w:bidi w:val="0"/>
        <w:adjustRightInd w:val="0"/>
        <w:snapToGrid w:val="0"/>
        <w:spacing w:line="240" w:lineRule="auto"/>
        <w:ind w:firstLine="480" w:firstLineChars="200"/>
        <w:jc w:val="left"/>
        <w:textAlignment w:val="auto"/>
        <w:rPr>
          <w:rFonts w:hint="eastAsia" w:ascii="仿宋" w:hAnsi="仿宋" w:eastAsia="仿宋" w:cs="仿宋"/>
          <w:b w:val="0"/>
          <w:bCs w:val="0"/>
          <w:snapToGrid/>
          <w:kern w:val="2"/>
          <w:sz w:val="24"/>
          <w:szCs w:val="24"/>
          <w:highlight w:val="none"/>
          <w:vertAlign w:val="baseline"/>
          <w:lang w:val="en-US" w:eastAsia="zh-CN" w:bidi="ar-SA"/>
        </w:rPr>
      </w:pPr>
      <w:r>
        <w:rPr>
          <w:rFonts w:hint="eastAsia" w:ascii="仿宋" w:hAnsi="仿宋" w:eastAsia="仿宋" w:cs="仿宋"/>
          <w:b w:val="0"/>
          <w:bCs w:val="0"/>
          <w:snapToGrid/>
          <w:kern w:val="2"/>
          <w:sz w:val="24"/>
          <w:szCs w:val="24"/>
          <w:highlight w:val="none"/>
          <w:vertAlign w:val="baseline"/>
          <w:lang w:val="en-US" w:eastAsia="zh-CN" w:bidi="ar-SA"/>
        </w:rPr>
        <w:t>2、审核医院现有临床试验SOP内控体系，提出修订建议，并协助修订。</w:t>
      </w:r>
    </w:p>
    <w:p w14:paraId="30B3B40F">
      <w:pPr>
        <w:keepNext w:val="0"/>
        <w:keepLines w:val="0"/>
        <w:pageBreakBefore w:val="0"/>
        <w:widowControl w:val="0"/>
        <w:numPr>
          <w:ilvl w:val="-1"/>
          <w:numId w:val="0"/>
        </w:numPr>
        <w:kinsoku/>
        <w:wordWrap/>
        <w:overflowPunct/>
        <w:topLinePunct w:val="0"/>
        <w:autoSpaceDE/>
        <w:autoSpaceDN/>
        <w:bidi w:val="0"/>
        <w:adjustRightInd w:val="0"/>
        <w:snapToGrid w:val="0"/>
        <w:spacing w:line="240" w:lineRule="auto"/>
        <w:ind w:firstLine="480" w:firstLineChars="200"/>
        <w:jc w:val="left"/>
        <w:textAlignment w:val="auto"/>
        <w:rPr>
          <w:rFonts w:hint="eastAsia" w:ascii="仿宋" w:hAnsi="仿宋" w:eastAsia="仿宋" w:cs="仿宋"/>
          <w:b/>
          <w:bCs/>
          <w:snapToGrid/>
          <w:kern w:val="2"/>
          <w:sz w:val="24"/>
          <w:szCs w:val="24"/>
          <w:highlight w:val="none"/>
          <w:lang w:val="en-US" w:eastAsia="zh-CN" w:bidi="ar-SA"/>
        </w:rPr>
      </w:pPr>
      <w:r>
        <w:rPr>
          <w:rFonts w:hint="eastAsia" w:ascii="仿宋" w:hAnsi="仿宋" w:eastAsia="仿宋" w:cs="仿宋"/>
          <w:b/>
          <w:bCs/>
          <w:snapToGrid/>
          <w:kern w:val="2"/>
          <w:sz w:val="24"/>
          <w:szCs w:val="24"/>
          <w:highlight w:val="none"/>
          <w:lang w:val="en-US" w:eastAsia="zh-CN" w:bidi="ar-SA"/>
        </w:rPr>
        <w:t>医务科</w:t>
      </w:r>
    </w:p>
    <w:p w14:paraId="71979576">
      <w:pPr>
        <w:keepNext w:val="0"/>
        <w:keepLines w:val="0"/>
        <w:pageBreakBefore w:val="0"/>
        <w:widowControl w:val="0"/>
        <w:numPr>
          <w:ilvl w:val="-1"/>
          <w:numId w:val="0"/>
        </w:numPr>
        <w:suppressLineNumbers w:val="0"/>
        <w:pBdr>
          <w:top w:val="none" w:color="auto" w:sz="0" w:space="0"/>
          <w:left w:val="none" w:color="auto" w:sz="0" w:space="0"/>
          <w:right w:val="none" w:color="auto" w:sz="0" w:space="0"/>
        </w:pBdr>
        <w:shd w:val="clear"/>
        <w:tabs>
          <w:tab w:val="left" w:pos="1903"/>
        </w:tabs>
        <w:kinsoku/>
        <w:wordWrap/>
        <w:overflowPunct/>
        <w:topLinePunct w:val="0"/>
        <w:autoSpaceDE/>
        <w:autoSpaceDN/>
        <w:bidi w:val="0"/>
        <w:adjustRightInd w:val="0"/>
        <w:snapToGrid w:val="0"/>
        <w:spacing w:beforeAutospacing="0" w:afterAutospacing="0" w:line="240" w:lineRule="auto"/>
        <w:ind w:left="0" w:right="0"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b w:val="0"/>
          <w:bCs w:val="0"/>
          <w:snapToGrid/>
          <w:kern w:val="2"/>
          <w:sz w:val="24"/>
          <w:szCs w:val="24"/>
          <w:highlight w:val="none"/>
          <w:vertAlign w:val="baseline"/>
          <w:lang w:val="en-US" w:eastAsia="zh-CN" w:bidi="ar-SA"/>
        </w:rPr>
        <w:t>依据《国务院办公厅关于推动公立医院高质量发展的意见》、《公立医院内部控制管理办法》、《关于印</w:t>
      </w:r>
      <w:r>
        <w:rPr>
          <w:rFonts w:hint="eastAsia" w:ascii="仿宋" w:hAnsi="仿宋" w:eastAsia="仿宋" w:cs="仿宋"/>
          <w:snapToGrid/>
          <w:kern w:val="2"/>
          <w:sz w:val="24"/>
          <w:szCs w:val="24"/>
          <w:highlight w:val="none"/>
          <w:vertAlign w:val="baseline"/>
          <w:lang w:val="en-US" w:eastAsia="zh-CN" w:bidi="ar-SA"/>
        </w:rPr>
        <w:t>发&lt;关于进一步加强公立医院内部控制建设的指导意见&gt;的通知》文件精神，帮助医务科建立全面、系统、科学、有效的内部控制体系。</w:t>
      </w:r>
    </w:p>
    <w:p w14:paraId="4024B749">
      <w:pPr>
        <w:keepNext w:val="0"/>
        <w:keepLines w:val="0"/>
        <w:pageBreakBefore w:val="0"/>
        <w:widowControl w:val="0"/>
        <w:numPr>
          <w:ilvl w:val="-1"/>
          <w:numId w:val="0"/>
        </w:numPr>
        <w:suppressLineNumbers w:val="0"/>
        <w:pBdr>
          <w:top w:val="none" w:color="auto" w:sz="0" w:space="0"/>
          <w:left w:val="none" w:color="auto" w:sz="0" w:space="0"/>
          <w:right w:val="none" w:color="auto" w:sz="0" w:space="0"/>
        </w:pBdr>
        <w:shd w:val="clear"/>
        <w:tabs>
          <w:tab w:val="left" w:pos="1903"/>
        </w:tabs>
        <w:kinsoku/>
        <w:wordWrap/>
        <w:overflowPunct/>
        <w:topLinePunct w:val="0"/>
        <w:autoSpaceDE/>
        <w:autoSpaceDN/>
        <w:bidi w:val="0"/>
        <w:adjustRightInd w:val="0"/>
        <w:snapToGrid w:val="0"/>
        <w:spacing w:beforeAutospacing="0" w:afterAutospacing="0" w:line="240" w:lineRule="auto"/>
        <w:ind w:left="0" w:right="0"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1、需要系统能够全面、系统、客观地识别、分析本院医疗活动及相关业务活动存在的风险，确定相应的风险承受度及风险应对策略并出具风险评估报告（医务相关）。</w:t>
      </w:r>
    </w:p>
    <w:p w14:paraId="0891BBEF">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both"/>
        <w:textAlignment w:val="auto"/>
        <w:outlineLvl w:val="1"/>
        <w:rPr>
          <w:rFonts w:hint="eastAsia" w:ascii="仿宋" w:hAnsi="仿宋" w:eastAsia="仿宋" w:cs="仿宋"/>
          <w:b/>
          <w:bCs/>
          <w:snapToGrid/>
          <w:color w:val="auto"/>
          <w:kern w:val="2"/>
          <w:sz w:val="24"/>
          <w:szCs w:val="24"/>
          <w:highlight w:val="none"/>
          <w:shd w:val="clear" w:color="auto" w:fill="auto"/>
          <w:lang w:val="en-US" w:eastAsia="zh-CN" w:bidi="ar-SA"/>
        </w:rPr>
      </w:pPr>
      <w:r>
        <w:rPr>
          <w:rFonts w:hint="eastAsia" w:ascii="仿宋" w:hAnsi="仿宋" w:eastAsia="仿宋" w:cs="仿宋"/>
          <w:snapToGrid/>
          <w:kern w:val="2"/>
          <w:sz w:val="24"/>
          <w:szCs w:val="24"/>
          <w:highlight w:val="none"/>
          <w:vertAlign w:val="baseline"/>
          <w:lang w:val="en-US" w:eastAsia="zh-CN" w:bidi="ar-SA"/>
        </w:rPr>
        <w:t>2、需要针对医院内部控制建立和实施的有效性进行评价并按《公立医院内部控制管理办法》的要求出具内部控制评价报告（医务相关）。</w:t>
      </w:r>
    </w:p>
    <w:p w14:paraId="71EEC4E3">
      <w:pPr>
        <w:keepNext w:val="0"/>
        <w:keepLines w:val="0"/>
        <w:pageBreakBefore w:val="0"/>
        <w:widowControl w:val="0"/>
        <w:numPr>
          <w:ilvl w:val="-1"/>
          <w:numId w:val="0"/>
        </w:numPr>
        <w:suppressLineNumbers w:val="0"/>
        <w:pBdr>
          <w:top w:val="none" w:color="auto" w:sz="0" w:space="0"/>
          <w:left w:val="none" w:color="auto" w:sz="0" w:space="0"/>
          <w:right w:val="none" w:color="auto" w:sz="0" w:space="0"/>
        </w:pBdr>
        <w:shd w:val="clear"/>
        <w:tabs>
          <w:tab w:val="left" w:pos="1903"/>
        </w:tabs>
        <w:kinsoku/>
        <w:wordWrap/>
        <w:overflowPunct/>
        <w:topLinePunct w:val="0"/>
        <w:autoSpaceDE/>
        <w:autoSpaceDN/>
        <w:bidi w:val="0"/>
        <w:adjustRightInd w:val="0"/>
        <w:snapToGrid w:val="0"/>
        <w:spacing w:beforeAutospacing="0" w:afterAutospacing="0" w:line="240" w:lineRule="auto"/>
        <w:ind w:left="0" w:right="0"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3、确保医院内部控制建设形成合规和有效的内控机制并形成制度，其中包括：</w:t>
      </w:r>
    </w:p>
    <w:p w14:paraId="7501703D">
      <w:pPr>
        <w:keepNext w:val="0"/>
        <w:keepLines w:val="0"/>
        <w:pageBreakBefore w:val="0"/>
        <w:widowControl w:val="0"/>
        <w:numPr>
          <w:ilvl w:val="-1"/>
          <w:numId w:val="0"/>
        </w:numPr>
        <w:suppressLineNumbers w:val="0"/>
        <w:pBdr>
          <w:top w:val="none" w:color="auto" w:sz="0" w:space="0"/>
          <w:left w:val="none" w:color="auto" w:sz="0" w:space="0"/>
          <w:right w:val="none" w:color="auto" w:sz="0" w:space="0"/>
        </w:pBdr>
        <w:shd w:val="clear"/>
        <w:tabs>
          <w:tab w:val="left" w:pos="1903"/>
        </w:tabs>
        <w:kinsoku/>
        <w:wordWrap/>
        <w:overflowPunct/>
        <w:topLinePunct w:val="0"/>
        <w:autoSpaceDE/>
        <w:autoSpaceDN/>
        <w:bidi w:val="0"/>
        <w:adjustRightInd w:val="0"/>
        <w:snapToGrid w:val="0"/>
        <w:spacing w:beforeAutospacing="0" w:afterAutospacing="0" w:line="240" w:lineRule="auto"/>
        <w:ind w:left="0" w:right="0"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（1）协助建立健全诊疗规范和诊疗活动管理制度，规范医疗行为，并严格按照政府主管部门批准范围开展诊疗活动；</w:t>
      </w:r>
    </w:p>
    <w:p w14:paraId="39E350AB">
      <w:pPr>
        <w:keepNext w:val="0"/>
        <w:keepLines w:val="0"/>
        <w:pageBreakBefore w:val="0"/>
        <w:widowControl w:val="0"/>
        <w:numPr>
          <w:ilvl w:val="-1"/>
          <w:numId w:val="0"/>
        </w:numPr>
        <w:suppressLineNumbers w:val="0"/>
        <w:pBdr>
          <w:top w:val="none" w:color="auto" w:sz="0" w:space="0"/>
          <w:left w:val="none" w:color="auto" w:sz="0" w:space="0"/>
          <w:right w:val="none" w:color="auto" w:sz="0" w:space="0"/>
        </w:pBdr>
        <w:shd w:val="clear"/>
        <w:tabs>
          <w:tab w:val="left" w:pos="1903"/>
        </w:tabs>
        <w:kinsoku/>
        <w:wordWrap/>
        <w:overflowPunct/>
        <w:topLinePunct w:val="0"/>
        <w:autoSpaceDE/>
        <w:autoSpaceDN/>
        <w:bidi w:val="0"/>
        <w:adjustRightInd w:val="0"/>
        <w:snapToGrid w:val="0"/>
        <w:spacing w:beforeAutospacing="0" w:afterAutospacing="0" w:line="240" w:lineRule="auto"/>
        <w:ind w:left="0" w:right="0"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（2）医疗业务活动应当实行归口管理，希望协助明确内部医务管理部门、医保部门、物价部门在医疗活动方面的职责；</w:t>
      </w:r>
    </w:p>
    <w:p w14:paraId="1F819007">
      <w:pPr>
        <w:keepNext w:val="0"/>
        <w:keepLines w:val="0"/>
        <w:pageBreakBefore w:val="0"/>
        <w:widowControl w:val="0"/>
        <w:numPr>
          <w:ilvl w:val="-1"/>
          <w:numId w:val="0"/>
        </w:numPr>
        <w:suppressLineNumbers w:val="0"/>
        <w:pBdr>
          <w:top w:val="none" w:color="auto" w:sz="0" w:space="0"/>
          <w:left w:val="none" w:color="auto" w:sz="0" w:space="0"/>
          <w:right w:val="none" w:color="auto" w:sz="0" w:space="0"/>
        </w:pBdr>
        <w:shd w:val="clear"/>
        <w:tabs>
          <w:tab w:val="left" w:pos="1903"/>
        </w:tabs>
        <w:kinsoku/>
        <w:wordWrap/>
        <w:overflowPunct/>
        <w:topLinePunct w:val="0"/>
        <w:autoSpaceDE/>
        <w:autoSpaceDN/>
        <w:bidi w:val="0"/>
        <w:adjustRightInd w:val="0"/>
        <w:snapToGrid w:val="0"/>
        <w:spacing w:beforeAutospacing="0" w:afterAutospacing="0" w:line="240" w:lineRule="auto"/>
        <w:ind w:left="0" w:right="0"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（3）针对医务相关流程进行梳理和完善，并绘制流程图；</w:t>
      </w:r>
    </w:p>
    <w:p w14:paraId="41C28CCD">
      <w:pPr>
        <w:keepNext w:val="0"/>
        <w:keepLines w:val="0"/>
        <w:pageBreakBefore w:val="0"/>
        <w:widowControl w:val="0"/>
        <w:numPr>
          <w:ilvl w:val="-1"/>
          <w:numId w:val="0"/>
        </w:numPr>
        <w:suppressLineNumbers w:val="0"/>
        <w:pBdr>
          <w:top w:val="none" w:color="auto" w:sz="0" w:space="0"/>
          <w:left w:val="none" w:color="auto" w:sz="0" w:space="0"/>
          <w:right w:val="none" w:color="auto" w:sz="0" w:space="0"/>
        </w:pBdr>
        <w:shd w:val="clear"/>
        <w:tabs>
          <w:tab w:val="left" w:pos="1903"/>
        </w:tabs>
        <w:kinsoku/>
        <w:wordWrap/>
        <w:overflowPunct/>
        <w:topLinePunct w:val="0"/>
        <w:autoSpaceDE/>
        <w:autoSpaceDN/>
        <w:bidi w:val="0"/>
        <w:adjustRightInd w:val="0"/>
        <w:snapToGrid w:val="0"/>
        <w:spacing w:beforeAutospacing="0" w:afterAutospacing="0" w:line="240" w:lineRule="auto"/>
        <w:ind w:left="0" w:right="0"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（4）对医务相关表单、管理台账等进行设计或完善，并帮助完善内部控制报告的内容编制填报。</w:t>
      </w:r>
    </w:p>
    <w:p w14:paraId="7F889333">
      <w:pPr>
        <w:keepNext w:val="0"/>
        <w:keepLines w:val="0"/>
        <w:pageBreakBefore w:val="0"/>
        <w:widowControl w:val="0"/>
        <w:numPr>
          <w:ilvl w:val="-1"/>
          <w:numId w:val="0"/>
        </w:numPr>
        <w:kinsoku/>
        <w:wordWrap/>
        <w:overflowPunct/>
        <w:topLinePunct w:val="0"/>
        <w:autoSpaceDE/>
        <w:autoSpaceDN/>
        <w:bidi w:val="0"/>
        <w:adjustRightInd w:val="0"/>
        <w:snapToGrid w:val="0"/>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4、为加强对临床科室诊疗活动的监督检查力度，帮助医务科健全相关管理制度，优化管理流程，帮助建立与医保部门、物价部门沟通协调机制，定期分析诊疗服务过程中存在的漏洞，对存在的问题及时组织整改。</w:t>
      </w:r>
    </w:p>
    <w:p w14:paraId="75900B0F">
      <w:pPr>
        <w:keepNext w:val="0"/>
        <w:keepLines w:val="0"/>
        <w:pageBreakBefore w:val="0"/>
        <w:widowControl w:val="0"/>
        <w:numPr>
          <w:ilvl w:val="-1"/>
          <w:numId w:val="0"/>
        </w:numPr>
        <w:kinsoku/>
        <w:wordWrap/>
        <w:overflowPunct/>
        <w:topLinePunct w:val="0"/>
        <w:autoSpaceDE/>
        <w:autoSpaceDN/>
        <w:bidi w:val="0"/>
        <w:adjustRightInd w:val="0"/>
        <w:snapToGrid w:val="0"/>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5、加强行风建设，帮助设置并完善行风管理制度，加强监督和管理，以避免临床科室和医务人员在执业过程中出现违规违法行为。</w:t>
      </w:r>
    </w:p>
    <w:p w14:paraId="4856A3CC">
      <w:pPr>
        <w:keepNext w:val="0"/>
        <w:keepLines w:val="0"/>
        <w:pageBreakBefore w:val="0"/>
        <w:widowControl w:val="0"/>
        <w:numPr>
          <w:ilvl w:val="-1"/>
          <w:numId w:val="0"/>
        </w:numPr>
        <w:kinsoku/>
        <w:wordWrap/>
        <w:overflowPunct/>
        <w:topLinePunct w:val="0"/>
        <w:autoSpaceDE/>
        <w:autoSpaceDN/>
        <w:bidi w:val="0"/>
        <w:adjustRightInd w:val="0"/>
        <w:snapToGrid w:val="0"/>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6、帮助医务科完善各相关委员会建设，明确委员会的组织构成和运行机制。</w:t>
      </w:r>
    </w:p>
    <w:p w14:paraId="4F08DD4F">
      <w:pPr>
        <w:keepNext w:val="0"/>
        <w:keepLines w:val="0"/>
        <w:pageBreakBefore w:val="0"/>
        <w:widowControl w:val="0"/>
        <w:numPr>
          <w:ilvl w:val="-1"/>
          <w:numId w:val="0"/>
        </w:numPr>
        <w:kinsoku/>
        <w:wordWrap/>
        <w:overflowPunct/>
        <w:topLinePunct w:val="0"/>
        <w:autoSpaceDE/>
        <w:autoSpaceDN/>
        <w:bidi w:val="0"/>
        <w:adjustRightInd w:val="0"/>
        <w:snapToGrid w:val="0"/>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7、帮助明确医务科在互联网医疗业务中的职责与权限，建立互联网医疗业务的工作流程、业务规范、沟通配合机制，对互联网医疗业务管理的关键环节实行重点管控。</w:t>
      </w:r>
    </w:p>
    <w:p w14:paraId="3D0F6E30">
      <w:pPr>
        <w:keepNext w:val="0"/>
        <w:keepLines w:val="0"/>
        <w:pageBreakBefore w:val="0"/>
        <w:widowControl w:val="0"/>
        <w:numPr>
          <w:ilvl w:val="-1"/>
          <w:numId w:val="0"/>
        </w:numPr>
        <w:kinsoku/>
        <w:wordWrap/>
        <w:overflowPunct/>
        <w:topLinePunct w:val="0"/>
        <w:autoSpaceDE/>
        <w:autoSpaceDN/>
        <w:bidi w:val="0"/>
        <w:adjustRightInd w:val="0"/>
        <w:snapToGrid w:val="0"/>
        <w:spacing w:line="240" w:lineRule="auto"/>
        <w:ind w:firstLine="480" w:firstLineChars="200"/>
        <w:jc w:val="left"/>
        <w:textAlignment w:val="auto"/>
        <w:rPr>
          <w:rFonts w:hint="eastAsia" w:ascii="仿宋" w:hAnsi="仿宋" w:eastAsia="仿宋" w:cs="仿宋"/>
          <w:b/>
          <w:bCs/>
          <w:snapToGrid/>
          <w:kern w:val="2"/>
          <w:sz w:val="24"/>
          <w:szCs w:val="24"/>
          <w:highlight w:val="none"/>
          <w:lang w:val="en-US" w:eastAsia="zh-CN" w:bidi="ar-SA"/>
        </w:rPr>
      </w:pPr>
      <w:r>
        <w:rPr>
          <w:rFonts w:hint="eastAsia" w:ascii="仿宋" w:hAnsi="仿宋" w:eastAsia="仿宋" w:cs="仿宋"/>
          <w:b/>
          <w:bCs/>
          <w:snapToGrid/>
          <w:kern w:val="2"/>
          <w:sz w:val="24"/>
          <w:szCs w:val="24"/>
          <w:highlight w:val="none"/>
          <w:lang w:val="en-US" w:eastAsia="zh-CN" w:bidi="ar-SA"/>
        </w:rPr>
        <w:t>基建科</w:t>
      </w:r>
    </w:p>
    <w:p w14:paraId="4F428C3B">
      <w:pPr>
        <w:keepNext w:val="0"/>
        <w:keepLines w:val="0"/>
        <w:pageBreakBefore w:val="0"/>
        <w:widowControl w:val="0"/>
        <w:numPr>
          <w:ilvl w:val="-1"/>
          <w:numId w:val="0"/>
        </w:numPr>
        <w:kinsoku/>
        <w:wordWrap/>
        <w:overflowPunct/>
        <w:topLinePunct w:val="0"/>
        <w:autoSpaceDE/>
        <w:autoSpaceDN/>
        <w:bidi w:val="0"/>
        <w:adjustRightInd w:val="0"/>
        <w:snapToGrid w:val="0"/>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1、建立基本建设项目（大型项目、改扩建项目、院内零星维修项目）管理制度，项目议事决策机制、项目审核机制和项目考核监督机制。建设项目的立项、设计、概预算、施工、询价、收方、验收、归档和竣工决算的工作流程、业务规范。</w:t>
      </w:r>
    </w:p>
    <w:p w14:paraId="7113AF4D">
      <w:pPr>
        <w:keepNext w:val="0"/>
        <w:keepLines w:val="0"/>
        <w:pageBreakBefore w:val="0"/>
        <w:widowControl w:val="0"/>
        <w:numPr>
          <w:ilvl w:val="-1"/>
          <w:numId w:val="0"/>
        </w:numPr>
        <w:kinsoku/>
        <w:wordWrap/>
        <w:overflowPunct/>
        <w:topLinePunct w:val="0"/>
        <w:autoSpaceDE/>
        <w:autoSpaceDN/>
        <w:bidi w:val="0"/>
        <w:adjustRightInd w:val="0"/>
        <w:snapToGrid w:val="0"/>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2、明确建设项目（大型项目、改扩建项目、院内零星维修项目）决策机构、归口管理部门、财务部门、审计部门、资产部门等内部相关部门在建设项目管理中的职责权限。</w:t>
      </w:r>
    </w:p>
    <w:p w14:paraId="2B3795ED">
      <w:pPr>
        <w:keepNext w:val="0"/>
        <w:keepLines w:val="0"/>
        <w:pageBreakBefore w:val="0"/>
        <w:widowControl w:val="0"/>
        <w:numPr>
          <w:ilvl w:val="-1"/>
          <w:numId w:val="0"/>
        </w:numPr>
        <w:kinsoku/>
        <w:wordWrap/>
        <w:overflowPunct/>
        <w:topLinePunct w:val="0"/>
        <w:autoSpaceDE/>
        <w:autoSpaceDN/>
        <w:bidi w:val="0"/>
        <w:adjustRightInd w:val="0"/>
        <w:snapToGrid w:val="0"/>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3、合理设置科室管理岗位，明确岗位职能、职责、权限。</w:t>
      </w:r>
    </w:p>
    <w:p w14:paraId="658ED28E">
      <w:pPr>
        <w:keepNext w:val="0"/>
        <w:keepLines w:val="0"/>
        <w:pageBreakBefore w:val="0"/>
        <w:widowControl w:val="0"/>
        <w:numPr>
          <w:ilvl w:val="-1"/>
          <w:numId w:val="0"/>
        </w:numPr>
        <w:kinsoku/>
        <w:wordWrap/>
        <w:overflowPunct/>
        <w:topLinePunct w:val="0"/>
        <w:autoSpaceDE/>
        <w:autoSpaceDN/>
        <w:bidi w:val="0"/>
        <w:adjustRightInd w:val="0"/>
        <w:snapToGrid w:val="0"/>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4、建设项目管理各关键工作的流程图及流程说明。</w:t>
      </w:r>
    </w:p>
    <w:p w14:paraId="4BC5ACC9">
      <w:pPr>
        <w:keepNext w:val="0"/>
        <w:keepLines w:val="0"/>
        <w:pageBreakBefore w:val="0"/>
        <w:widowControl w:val="0"/>
        <w:numPr>
          <w:ilvl w:val="-1"/>
          <w:numId w:val="0"/>
        </w:numPr>
        <w:kinsoku/>
        <w:wordWrap/>
        <w:overflowPunct/>
        <w:topLinePunct w:val="0"/>
        <w:autoSpaceDE/>
        <w:autoSpaceDN/>
        <w:bidi w:val="0"/>
        <w:adjustRightInd w:val="0"/>
        <w:snapToGrid w:val="0"/>
        <w:spacing w:line="240" w:lineRule="auto"/>
        <w:ind w:firstLine="480" w:firstLineChars="200"/>
        <w:jc w:val="left"/>
        <w:textAlignment w:val="auto"/>
        <w:rPr>
          <w:rFonts w:hint="eastAsia" w:ascii="仿宋" w:hAnsi="仿宋" w:eastAsia="仿宋" w:cs="仿宋"/>
          <w:b/>
          <w:bCs/>
          <w:snapToGrid/>
          <w:kern w:val="2"/>
          <w:sz w:val="24"/>
          <w:szCs w:val="24"/>
          <w:highlight w:val="none"/>
          <w:lang w:val="en-US" w:eastAsia="zh-CN" w:bidi="ar-SA"/>
        </w:rPr>
      </w:pPr>
      <w:r>
        <w:rPr>
          <w:rFonts w:hint="eastAsia" w:ascii="仿宋" w:hAnsi="仿宋" w:eastAsia="仿宋" w:cs="仿宋"/>
          <w:b/>
          <w:bCs/>
          <w:snapToGrid/>
          <w:kern w:val="2"/>
          <w:sz w:val="24"/>
          <w:szCs w:val="24"/>
          <w:highlight w:val="none"/>
          <w:lang w:val="en-US" w:eastAsia="zh-CN" w:bidi="ar-SA"/>
        </w:rPr>
        <w:t>审计科</w:t>
      </w:r>
    </w:p>
    <w:p w14:paraId="40B066C5">
      <w:pPr>
        <w:keepNext w:val="0"/>
        <w:keepLines w:val="0"/>
        <w:pageBreakBefore w:val="0"/>
        <w:widowControl w:val="0"/>
        <w:numPr>
          <w:ilvl w:val="-1"/>
          <w:numId w:val="0"/>
        </w:numPr>
        <w:kinsoku/>
        <w:wordWrap/>
        <w:overflowPunct/>
        <w:topLinePunct w:val="0"/>
        <w:autoSpaceDE/>
        <w:autoSpaceDN/>
        <w:bidi w:val="0"/>
        <w:adjustRightInd w:val="0"/>
        <w:snapToGrid w:val="0"/>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1、分析本院经济活动及相关业务活动存在的风险，确定相应的风险承受度及风险应对策略并出具风险评估报告。</w:t>
      </w:r>
    </w:p>
    <w:p w14:paraId="1D615F0C">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both"/>
        <w:textAlignment w:val="auto"/>
        <w:outlineLvl w:val="1"/>
        <w:rPr>
          <w:rFonts w:hint="eastAsia" w:ascii="仿宋" w:hAnsi="仿宋" w:eastAsia="仿宋" w:cs="仿宋"/>
          <w:b/>
          <w:bCs/>
          <w:snapToGrid/>
          <w:color w:val="auto"/>
          <w:kern w:val="2"/>
          <w:sz w:val="24"/>
          <w:szCs w:val="24"/>
          <w:highlight w:val="none"/>
          <w:shd w:val="clear" w:color="auto" w:fill="auto"/>
          <w:lang w:val="en-US" w:eastAsia="zh-CN" w:bidi="ar-SA"/>
        </w:rPr>
      </w:pPr>
      <w:r>
        <w:rPr>
          <w:rFonts w:hint="eastAsia" w:ascii="仿宋" w:hAnsi="仿宋" w:eastAsia="仿宋" w:cs="仿宋"/>
          <w:snapToGrid/>
          <w:kern w:val="2"/>
          <w:sz w:val="24"/>
          <w:szCs w:val="24"/>
          <w:highlight w:val="none"/>
          <w:vertAlign w:val="baseline"/>
          <w:lang w:val="en-US" w:eastAsia="zh-CN" w:bidi="ar-SA"/>
        </w:rPr>
        <w:t>2、对本院内部控制建立和实施的有效性进行评价，按《公立医院内部控制管理办法》（国卫财发〔2020〕31号）第五十条的要求制定内部控制评价方案，出具评价报告。</w:t>
      </w:r>
    </w:p>
    <w:p w14:paraId="16C23102">
      <w:pPr>
        <w:keepNext w:val="0"/>
        <w:keepLines w:val="0"/>
        <w:pageBreakBefore w:val="0"/>
        <w:widowControl w:val="0"/>
        <w:numPr>
          <w:ilvl w:val="0"/>
          <w:numId w:val="0"/>
        </w:numPr>
        <w:pBdr>
          <w:top w:val="none" w:color="auto" w:sz="0" w:space="0"/>
          <w:left w:val="none" w:color="auto" w:sz="0" w:space="0"/>
          <w:right w:val="none" w:color="auto" w:sz="0" w:space="0"/>
        </w:pBdr>
        <w:shd w:val="clear" w:color="auto" w:fill="auto"/>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b/>
          <w:bCs/>
          <w:snapToGrid/>
          <w:kern w:val="2"/>
          <w:sz w:val="24"/>
          <w:szCs w:val="24"/>
          <w:highlight w:val="none"/>
          <w:lang w:val="en-US" w:eastAsia="zh-CN" w:bidi="ar-SA"/>
        </w:rPr>
      </w:pPr>
      <w:r>
        <w:rPr>
          <w:rFonts w:hint="eastAsia" w:ascii="仿宋" w:hAnsi="仿宋" w:eastAsia="仿宋" w:cs="仿宋"/>
          <w:b/>
          <w:bCs/>
          <w:snapToGrid/>
          <w:kern w:val="2"/>
          <w:sz w:val="24"/>
          <w:szCs w:val="24"/>
          <w:highlight w:val="none"/>
          <w:lang w:val="en-US" w:eastAsia="zh-CN" w:bidi="ar-SA"/>
        </w:rPr>
        <w:t>设备科</w:t>
      </w:r>
    </w:p>
    <w:p w14:paraId="0765C934">
      <w:pPr>
        <w:keepNext w:val="0"/>
        <w:keepLines w:val="0"/>
        <w:pageBreakBefore w:val="0"/>
        <w:widowControl w:val="0"/>
        <w:numPr>
          <w:ilvl w:val="0"/>
          <w:numId w:val="0"/>
        </w:numPr>
        <w:pBdr>
          <w:top w:val="none" w:color="auto" w:sz="0" w:space="0"/>
          <w:left w:val="none" w:color="auto" w:sz="0" w:space="0"/>
          <w:right w:val="none" w:color="auto" w:sz="0" w:space="0"/>
        </w:pBdr>
        <w:shd w:val="clear" w:color="auto" w:fill="auto"/>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1、建立健全医疗器械与医用耗材采管体系，落实国家药品和医用耗材采购政策明确职责划分与归口管理，确定医用耗材、仪器设备、科研试剂等品类多、金额大的物资和设备等物资采购过程中的关键管控环节和控制措施。</w:t>
      </w:r>
    </w:p>
    <w:p w14:paraId="5483EAD8">
      <w:pPr>
        <w:keepNext w:val="0"/>
        <w:keepLines w:val="0"/>
        <w:pageBreakBefore w:val="0"/>
        <w:widowControl w:val="0"/>
        <w:numPr>
          <w:ilvl w:val="0"/>
          <w:numId w:val="0"/>
        </w:numPr>
        <w:pBdr>
          <w:top w:val="none" w:color="auto" w:sz="0" w:space="0"/>
          <w:left w:val="none" w:color="auto" w:sz="0" w:space="0"/>
          <w:right w:val="none" w:color="auto" w:sz="0" w:space="0"/>
        </w:pBdr>
        <w:shd w:val="clear" w:color="auto" w:fill="auto"/>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2、建立健全覆盖医疗设备、医用耗材、服务类采购全流程需求论证、需求制定、项目执行、验收入库等环节的审核与评估机制。</w:t>
      </w:r>
    </w:p>
    <w:p w14:paraId="6074204E">
      <w:pPr>
        <w:keepNext w:val="0"/>
        <w:keepLines w:val="0"/>
        <w:pageBreakBefore w:val="0"/>
        <w:widowControl w:val="0"/>
        <w:numPr>
          <w:ilvl w:val="0"/>
          <w:numId w:val="0"/>
        </w:numPr>
        <w:pBdr>
          <w:top w:val="none" w:color="auto" w:sz="0" w:space="0"/>
          <w:left w:val="none" w:color="auto" w:sz="0" w:space="0"/>
          <w:right w:val="none" w:color="auto" w:sz="0" w:space="0"/>
        </w:pBdr>
        <w:shd w:val="clear" w:color="auto" w:fill="auto"/>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3、建立健全覆盖资产管理全条线的管理办法和信息流程，实现资产实时动态管理，规范资产变动管理。</w:t>
      </w:r>
    </w:p>
    <w:p w14:paraId="0A39609E">
      <w:pPr>
        <w:keepNext w:val="0"/>
        <w:keepLines w:val="0"/>
        <w:pageBreakBefore w:val="0"/>
        <w:widowControl w:val="0"/>
        <w:numPr>
          <w:ilvl w:val="0"/>
          <w:numId w:val="0"/>
        </w:numPr>
        <w:pBdr>
          <w:top w:val="none" w:color="auto" w:sz="0" w:space="0"/>
          <w:left w:val="none" w:color="auto" w:sz="0" w:space="0"/>
          <w:right w:val="none" w:color="auto" w:sz="0" w:space="0"/>
        </w:pBdr>
        <w:shd w:val="clear" w:color="auto" w:fill="auto"/>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4、建立健全供应商管理评价机制。</w:t>
      </w:r>
    </w:p>
    <w:p w14:paraId="2D5673E7">
      <w:pPr>
        <w:keepNext w:val="0"/>
        <w:keepLines w:val="0"/>
        <w:pageBreakBefore w:val="0"/>
        <w:widowControl w:val="0"/>
        <w:numPr>
          <w:ilvl w:val="0"/>
          <w:numId w:val="0"/>
        </w:numPr>
        <w:pBdr>
          <w:top w:val="none" w:color="auto" w:sz="0" w:space="0"/>
          <w:left w:val="none" w:color="auto" w:sz="0" w:space="0"/>
          <w:right w:val="none" w:color="auto" w:sz="0" w:space="0"/>
        </w:pBdr>
        <w:shd w:val="clear" w:color="auto" w:fill="auto"/>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b/>
          <w:bCs/>
          <w:snapToGrid/>
          <w:kern w:val="2"/>
          <w:sz w:val="24"/>
          <w:szCs w:val="24"/>
          <w:highlight w:val="none"/>
          <w:lang w:val="en-US" w:eastAsia="zh-CN" w:bidi="ar-SA"/>
        </w:rPr>
      </w:pPr>
      <w:r>
        <w:rPr>
          <w:rFonts w:hint="eastAsia" w:ascii="仿宋" w:hAnsi="仿宋" w:eastAsia="仿宋" w:cs="仿宋"/>
          <w:b/>
          <w:bCs/>
          <w:snapToGrid/>
          <w:kern w:val="2"/>
          <w:sz w:val="24"/>
          <w:szCs w:val="24"/>
          <w:highlight w:val="none"/>
          <w:lang w:val="en-US" w:eastAsia="zh-CN" w:bidi="ar-SA"/>
        </w:rPr>
        <w:t>信息科</w:t>
      </w:r>
    </w:p>
    <w:p w14:paraId="5624D2AB">
      <w:pPr>
        <w:keepNext w:val="0"/>
        <w:keepLines w:val="0"/>
        <w:pageBreakBefore w:val="0"/>
        <w:widowControl w:val="0"/>
        <w:numPr>
          <w:ilvl w:val="0"/>
          <w:numId w:val="0"/>
        </w:numPr>
        <w:pBdr>
          <w:top w:val="none" w:color="auto" w:sz="0" w:space="0"/>
          <w:left w:val="none" w:color="auto" w:sz="0" w:space="0"/>
          <w:right w:val="none" w:color="auto" w:sz="0" w:space="0"/>
        </w:pBdr>
        <w:shd w:val="clear" w:color="auto" w:fill="auto"/>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vertAlign w:val="baseline"/>
          <w:lang w:val="en-US" w:eastAsia="zh-CN" w:bidi="ar-SA"/>
        </w:rPr>
      </w:pPr>
      <w:r>
        <w:rPr>
          <w:rFonts w:hint="eastAsia" w:ascii="仿宋" w:hAnsi="仿宋" w:eastAsia="仿宋" w:cs="仿宋"/>
          <w:snapToGrid/>
          <w:kern w:val="2"/>
          <w:sz w:val="24"/>
          <w:szCs w:val="24"/>
          <w:highlight w:val="none"/>
          <w:vertAlign w:val="baseline"/>
          <w:lang w:val="en-US" w:eastAsia="zh-CN" w:bidi="ar-SA"/>
        </w:rPr>
        <w:t>按照《公立医院内部控制管理办法》第三十九条要求会同科室完成“信息化建设业务内部控制”板块对医院管理制度要求建设内容。</w:t>
      </w:r>
    </w:p>
    <w:p w14:paraId="3626265D">
      <w:pPr>
        <w:keepNext w:val="0"/>
        <w:keepLines w:val="0"/>
        <w:pageBreakBefore w:val="0"/>
        <w:widowControl w:val="0"/>
        <w:numPr>
          <w:ilvl w:val="0"/>
          <w:numId w:val="0"/>
        </w:numPr>
        <w:pBdr>
          <w:top w:val="none" w:color="auto" w:sz="0" w:space="0"/>
          <w:left w:val="none" w:color="auto" w:sz="0" w:space="0"/>
          <w:right w:val="none" w:color="auto" w:sz="0" w:space="0"/>
        </w:pBdr>
        <w:shd w:val="clear" w:color="auto" w:fill="auto"/>
        <w:kinsoku/>
        <w:wordWrap/>
        <w:overflowPunct/>
        <w:topLinePunct w:val="0"/>
        <w:autoSpaceDE/>
        <w:autoSpaceDN/>
        <w:bidi w:val="0"/>
        <w:adjustRightInd/>
        <w:snapToGrid/>
        <w:spacing w:line="240" w:lineRule="auto"/>
        <w:ind w:firstLine="480" w:firstLineChars="200"/>
        <w:jc w:val="both"/>
        <w:textAlignment w:val="auto"/>
        <w:rPr>
          <w:rFonts w:hint="eastAsia" w:ascii="仿宋" w:hAnsi="仿宋" w:eastAsia="仿宋" w:cs="仿宋"/>
          <w:snapToGrid/>
          <w:color w:val="auto"/>
          <w:kern w:val="2"/>
          <w:sz w:val="24"/>
          <w:szCs w:val="24"/>
          <w:highlight w:val="none"/>
          <w:lang w:val="en-US" w:eastAsia="zh-CN" w:bidi="ar-SA"/>
        </w:rPr>
      </w:pPr>
      <w:r>
        <w:rPr>
          <w:rFonts w:hint="eastAsia" w:ascii="仿宋" w:hAnsi="仿宋" w:eastAsia="仿宋" w:cs="仿宋"/>
          <w:snapToGrid/>
          <w:color w:val="auto"/>
          <w:kern w:val="2"/>
          <w:sz w:val="24"/>
          <w:szCs w:val="24"/>
          <w:highlight w:val="none"/>
          <w:lang w:val="en-US" w:eastAsia="zh-CN" w:bidi="ar-SA"/>
        </w:rPr>
        <w:t>（四）协助采购人完成2024年度内部控制报告的内容编制填报。</w:t>
      </w:r>
    </w:p>
    <w:p w14:paraId="7D5DF2AD">
      <w:pPr>
        <w:keepNext w:val="0"/>
        <w:keepLines w:val="0"/>
        <w:pageBreakBefore w:val="0"/>
        <w:widowControl w:val="0"/>
        <w:numPr>
          <w:ilvl w:val="0"/>
          <w:numId w:val="0"/>
        </w:numPr>
        <w:pBdr>
          <w:top w:val="none" w:color="auto" w:sz="0" w:space="0"/>
          <w:left w:val="none" w:color="auto" w:sz="0" w:space="0"/>
          <w:right w:val="none" w:color="auto" w:sz="0" w:space="0"/>
        </w:pBdr>
        <w:shd w:val="clear" w:color="auto" w:fill="auto"/>
        <w:kinsoku/>
        <w:wordWrap/>
        <w:overflowPunct/>
        <w:topLinePunct w:val="0"/>
        <w:autoSpaceDE/>
        <w:autoSpaceDN/>
        <w:bidi w:val="0"/>
        <w:adjustRightInd/>
        <w:snapToGrid/>
        <w:spacing w:line="240" w:lineRule="auto"/>
        <w:ind w:firstLine="480" w:firstLineChars="200"/>
        <w:jc w:val="both"/>
        <w:textAlignment w:val="auto"/>
        <w:rPr>
          <w:rFonts w:hint="eastAsia" w:ascii="仿宋" w:hAnsi="仿宋" w:eastAsia="仿宋" w:cs="仿宋"/>
          <w:snapToGrid/>
          <w:color w:val="auto"/>
          <w:kern w:val="2"/>
          <w:sz w:val="24"/>
          <w:szCs w:val="24"/>
          <w:highlight w:val="none"/>
          <w:lang w:val="en-US" w:eastAsia="zh-CN" w:bidi="ar-SA"/>
        </w:rPr>
      </w:pPr>
      <w:r>
        <w:rPr>
          <w:rFonts w:hint="eastAsia" w:ascii="仿宋" w:hAnsi="仿宋" w:eastAsia="仿宋" w:cs="仿宋"/>
          <w:snapToGrid/>
          <w:color w:val="auto"/>
          <w:kern w:val="2"/>
          <w:sz w:val="24"/>
          <w:szCs w:val="24"/>
          <w:highlight w:val="none"/>
          <w:lang w:val="en-US" w:eastAsia="zh-CN" w:bidi="ar-SA"/>
        </w:rPr>
        <w:t>（五）提供内部控制建设服务的实施方案，方案包括：①项目分析；②质量控制措施；③项目实施重难点分析及应对策略；④实施的方法和步骤方案；⑤项目人员配置及工作职责；⑥确保服务周期的措施等；⑦审核工作步骤及流程；⑧廉政、保密制度等内容。</w:t>
      </w:r>
    </w:p>
    <w:p w14:paraId="75498D1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both"/>
        <w:textAlignment w:val="auto"/>
        <w:rPr>
          <w:rFonts w:hint="eastAsia" w:ascii="仿宋" w:hAnsi="仿宋" w:eastAsia="仿宋" w:cs="仿宋"/>
          <w:b/>
          <w:bCs/>
          <w:snapToGrid/>
          <w:kern w:val="2"/>
          <w:sz w:val="24"/>
          <w:szCs w:val="24"/>
          <w:highlight w:val="none"/>
          <w:shd w:val="clear"/>
          <w:vertAlign w:val="baseline"/>
          <w:lang w:val="en-US" w:eastAsia="zh-CN" w:bidi="ar-SA"/>
        </w:rPr>
      </w:pPr>
      <w:r>
        <w:rPr>
          <w:rFonts w:hint="eastAsia" w:ascii="仿宋" w:hAnsi="仿宋" w:eastAsia="仿宋" w:cs="仿宋"/>
          <w:b/>
          <w:bCs/>
          <w:snapToGrid/>
          <w:kern w:val="2"/>
          <w:sz w:val="24"/>
          <w:szCs w:val="24"/>
          <w:highlight w:val="none"/>
          <w:shd w:val="clear"/>
          <w:lang w:val="en-US" w:eastAsia="zh-CN" w:bidi="ar-SA"/>
        </w:rPr>
        <w:t>★</w:t>
      </w:r>
      <w:r>
        <w:rPr>
          <w:rFonts w:hint="eastAsia" w:ascii="仿宋" w:hAnsi="仿宋" w:eastAsia="仿宋" w:cs="仿宋"/>
          <w:b/>
          <w:bCs/>
          <w:snapToGrid/>
          <w:kern w:val="2"/>
          <w:sz w:val="24"/>
          <w:szCs w:val="24"/>
          <w:highlight w:val="none"/>
          <w:shd w:val="clear"/>
          <w:vertAlign w:val="baseline"/>
          <w:lang w:val="en-US" w:eastAsia="zh-CN" w:bidi="ar-SA"/>
        </w:rPr>
        <w:t>三、其他要求</w:t>
      </w:r>
    </w:p>
    <w:p w14:paraId="2C7BD20C">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spacing w:val="0"/>
          <w:kern w:val="2"/>
          <w:sz w:val="24"/>
          <w:szCs w:val="24"/>
          <w:highlight w:val="none"/>
          <w:lang w:val="en-US" w:eastAsia="zh-CN" w:bidi="ar-SA"/>
        </w:rPr>
      </w:pPr>
      <w:r>
        <w:rPr>
          <w:rFonts w:hint="eastAsia" w:ascii="仿宋" w:hAnsi="仿宋" w:eastAsia="仿宋" w:cs="仿宋"/>
          <w:b w:val="0"/>
          <w:bCs w:val="0"/>
          <w:snapToGrid/>
          <w:kern w:val="2"/>
          <w:sz w:val="24"/>
          <w:szCs w:val="24"/>
          <w:highlight w:val="none"/>
          <w:lang w:val="en-US" w:eastAsia="zh-CN" w:bidi="ar-SA"/>
        </w:rPr>
        <w:t>1、安全要求：</w:t>
      </w:r>
      <w:r>
        <w:rPr>
          <w:rFonts w:hint="eastAsia" w:ascii="仿宋" w:hAnsi="仿宋" w:eastAsia="仿宋" w:cs="仿宋"/>
          <w:snapToGrid/>
          <w:spacing w:val="0"/>
          <w:kern w:val="2"/>
          <w:sz w:val="24"/>
          <w:szCs w:val="24"/>
          <w:highlight w:val="none"/>
          <w:lang w:val="en-US" w:eastAsia="zh-CN" w:bidi="ar-SA"/>
        </w:rPr>
        <w:t>竞选人在服务期间应做好各项安全保障措施，若因竞选人或其工作人员在履行职务过程中的疏忽、失职、过错等故意或者过失原因造成自身人员、采购人或第三方人员伤亡或财产损失的，均由竞选人承担全部责任。</w:t>
      </w:r>
    </w:p>
    <w:p w14:paraId="2BAAA192">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kern w:val="2"/>
          <w:sz w:val="24"/>
          <w:szCs w:val="24"/>
          <w:highlight w:val="none"/>
          <w:lang w:val="en-US" w:eastAsia="zh-CN" w:bidi="ar-SA"/>
        </w:rPr>
      </w:pPr>
      <w:r>
        <w:rPr>
          <w:rFonts w:hint="eastAsia" w:ascii="仿宋" w:hAnsi="仿宋" w:eastAsia="仿宋" w:cs="仿宋"/>
          <w:snapToGrid/>
          <w:kern w:val="2"/>
          <w:sz w:val="24"/>
          <w:szCs w:val="24"/>
          <w:highlight w:val="none"/>
          <w:lang w:val="en-US" w:eastAsia="zh-CN" w:bidi="ar-SA"/>
        </w:rPr>
        <w:t>2、采购人享有本项目实施过程中产生的知识成果及知识产权。竞选人应保证所提供的服务或其任何一部分均不会侵犯任何第三方的专利权、商标权或著作权。竞选人保证所提供的服务的所有权完全属于竞选人且无任何抵押、查封等产权瑕疵，如有产权瑕疵的，视为竞选人违约，由竞选人承担由此产生的全部损失及责任。</w:t>
      </w:r>
    </w:p>
    <w:p w14:paraId="6E08C154">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both"/>
        <w:textAlignment w:val="auto"/>
        <w:outlineLvl w:val="1"/>
        <w:rPr>
          <w:rFonts w:hint="eastAsia" w:ascii="仿宋" w:hAnsi="仿宋" w:eastAsia="仿宋" w:cs="仿宋"/>
          <w:b/>
          <w:bCs/>
          <w:snapToGrid/>
          <w:color w:val="auto"/>
          <w:kern w:val="2"/>
          <w:sz w:val="24"/>
          <w:szCs w:val="24"/>
          <w:highlight w:val="none"/>
          <w:shd w:val="clear" w:color="auto" w:fill="auto"/>
          <w:lang w:val="en-US" w:eastAsia="zh-CN" w:bidi="ar-SA"/>
        </w:rPr>
      </w:pPr>
      <w:r>
        <w:rPr>
          <w:rFonts w:hint="eastAsia" w:ascii="仿宋" w:hAnsi="仿宋" w:eastAsia="仿宋" w:cs="仿宋"/>
          <w:snapToGrid/>
          <w:kern w:val="2"/>
          <w:sz w:val="24"/>
          <w:szCs w:val="24"/>
          <w:highlight w:val="none"/>
          <w:lang w:val="en-US" w:eastAsia="zh-CN" w:bidi="ar-SA"/>
        </w:rPr>
        <w:t>3、保密要求：竞选人在服务期间所涉及的所有信息资料（包括：采购人提供或竞选人自行收集的）竞选人均负有保密义务，未经采购人书面同意竞选人不得将与本项目相关的所有信息资料透露给第三方或用于与本项目无关的其他任何事项，否则采购人有权追究其法律责任，如因竞选人过错导致采购人遭受损失的，由竞选人承担全部法律责任及赔偿责任。</w:t>
      </w:r>
    </w:p>
    <w:p w14:paraId="2C1490D1">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both"/>
        <w:textAlignment w:val="auto"/>
        <w:outlineLvl w:val="1"/>
        <w:rPr>
          <w:rFonts w:hint="eastAsia" w:ascii="仿宋" w:hAnsi="仿宋" w:eastAsia="仿宋" w:cs="仿宋"/>
          <w:b/>
          <w:bCs/>
          <w:snapToGrid/>
          <w:color w:val="auto"/>
          <w:kern w:val="2"/>
          <w:sz w:val="24"/>
          <w:szCs w:val="24"/>
          <w:highlight w:val="yellow"/>
          <w:shd w:val="clear" w:color="auto" w:fill="auto"/>
          <w:lang w:val="en-US" w:eastAsia="zh-CN" w:bidi="ar-SA"/>
        </w:rPr>
      </w:pPr>
      <w:r>
        <w:rPr>
          <w:rFonts w:hint="eastAsia" w:ascii="仿宋" w:hAnsi="仿宋" w:eastAsia="仿宋" w:cs="仿宋"/>
          <w:snapToGrid/>
          <w:kern w:val="0"/>
          <w:sz w:val="24"/>
          <w:szCs w:val="24"/>
          <w:lang w:val="en-US" w:eastAsia="zh-CN" w:bidi="ar-SA"/>
        </w:rPr>
        <w:t>4、</w:t>
      </w:r>
      <w:r>
        <w:rPr>
          <w:rFonts w:hint="eastAsia" w:ascii="仿宋" w:hAnsi="仿宋" w:eastAsia="仿宋" w:cs="仿宋"/>
          <w:snapToGrid/>
          <w:kern w:val="2"/>
          <w:sz w:val="24"/>
          <w:szCs w:val="24"/>
          <w:highlight w:val="none"/>
          <w:lang w:val="en-US" w:eastAsia="zh-CN" w:bidi="ar-SA"/>
        </w:rPr>
        <w:t>竞选人</w:t>
      </w:r>
      <w:r>
        <w:rPr>
          <w:rFonts w:hint="eastAsia" w:ascii="仿宋" w:hAnsi="仿宋" w:eastAsia="仿宋" w:cs="仿宋"/>
          <w:snapToGrid/>
          <w:kern w:val="0"/>
          <w:sz w:val="24"/>
          <w:szCs w:val="24"/>
          <w:lang w:val="en-US" w:eastAsia="zh-Hans" w:bidi="ar-SA"/>
        </w:rPr>
        <w:t>需</w:t>
      </w:r>
      <w:r>
        <w:rPr>
          <w:rFonts w:hint="eastAsia" w:ascii="仿宋" w:hAnsi="仿宋" w:eastAsia="仿宋" w:cs="仿宋"/>
          <w:snapToGrid/>
          <w:kern w:val="0"/>
          <w:sz w:val="24"/>
          <w:szCs w:val="24"/>
          <w:lang w:val="en-US" w:eastAsia="zh-CN" w:bidi="ar-SA"/>
        </w:rPr>
        <w:t>针对本项目</w:t>
      </w:r>
      <w:r>
        <w:rPr>
          <w:rFonts w:hint="eastAsia" w:ascii="仿宋" w:hAnsi="仿宋" w:eastAsia="仿宋" w:cs="仿宋"/>
          <w:snapToGrid/>
          <w:kern w:val="0"/>
          <w:sz w:val="24"/>
          <w:szCs w:val="24"/>
          <w:lang w:val="en-US" w:eastAsia="zh-Hans" w:bidi="ar-SA"/>
        </w:rPr>
        <w:t>配备高素质且专业能力强的服务团队</w:t>
      </w:r>
      <w:r>
        <w:rPr>
          <w:rFonts w:hint="eastAsia" w:ascii="仿宋" w:hAnsi="仿宋" w:eastAsia="仿宋" w:cs="仿宋"/>
          <w:snapToGrid/>
          <w:kern w:val="0"/>
          <w:sz w:val="24"/>
          <w:szCs w:val="24"/>
          <w:lang w:val="en-US" w:eastAsia="zh-CN" w:bidi="ar-SA"/>
        </w:rPr>
        <w:t>，其中</w:t>
      </w:r>
      <w:r>
        <w:rPr>
          <w:rFonts w:hint="eastAsia" w:ascii="仿宋" w:hAnsi="仿宋" w:eastAsia="仿宋" w:cs="仿宋"/>
          <w:snapToGrid/>
          <w:kern w:val="0"/>
          <w:sz w:val="24"/>
          <w:szCs w:val="24"/>
          <w:lang w:val="en-US" w:eastAsia="zh-Hans" w:bidi="ar-SA"/>
        </w:rPr>
        <w:t>驻场人员</w:t>
      </w:r>
      <w:r>
        <w:rPr>
          <w:rFonts w:hint="eastAsia" w:ascii="仿宋" w:hAnsi="仿宋" w:eastAsia="仿宋" w:cs="仿宋"/>
          <w:snapToGrid/>
          <w:kern w:val="0"/>
          <w:sz w:val="24"/>
          <w:szCs w:val="24"/>
          <w:lang w:val="en-US" w:eastAsia="zh-CN" w:bidi="ar-SA"/>
        </w:rPr>
        <w:t>不少于</w:t>
      </w:r>
      <w:r>
        <w:rPr>
          <w:rFonts w:hint="eastAsia" w:ascii="仿宋" w:hAnsi="仿宋" w:eastAsia="仿宋" w:cs="仿宋"/>
          <w:snapToGrid/>
          <w:kern w:val="0"/>
          <w:sz w:val="24"/>
          <w:szCs w:val="24"/>
          <w:lang w:val="en-US" w:eastAsia="zh-Hans" w:bidi="ar-SA"/>
        </w:rPr>
        <w:t>3人</w:t>
      </w:r>
      <w:r>
        <w:rPr>
          <w:rFonts w:hint="eastAsia" w:ascii="仿宋" w:hAnsi="仿宋" w:eastAsia="仿宋" w:cs="仿宋"/>
          <w:snapToGrid/>
          <w:kern w:val="0"/>
          <w:sz w:val="24"/>
          <w:szCs w:val="24"/>
          <w:lang w:val="en-US" w:eastAsia="zh-CN" w:bidi="ar-SA"/>
        </w:rPr>
        <w:t>（其中</w:t>
      </w:r>
      <w:r>
        <w:rPr>
          <w:rFonts w:hint="eastAsia" w:ascii="仿宋" w:hAnsi="仿宋" w:eastAsia="仿宋" w:cs="仿宋"/>
          <w:snapToGrid/>
          <w:kern w:val="0"/>
          <w:sz w:val="24"/>
          <w:szCs w:val="24"/>
          <w:lang w:val="en-US" w:eastAsia="zh-Hans" w:bidi="ar-SA"/>
        </w:rPr>
        <w:t>注册会计师</w:t>
      </w:r>
      <w:r>
        <w:rPr>
          <w:rFonts w:hint="eastAsia" w:ascii="仿宋" w:hAnsi="仿宋" w:eastAsia="仿宋" w:cs="仿宋"/>
          <w:snapToGrid/>
          <w:kern w:val="0"/>
          <w:sz w:val="24"/>
          <w:szCs w:val="24"/>
          <w:lang w:val="en-US" w:eastAsia="zh-CN" w:bidi="ar-SA"/>
        </w:rPr>
        <w:t>不少于</w:t>
      </w:r>
      <w:r>
        <w:rPr>
          <w:rFonts w:hint="eastAsia" w:ascii="仿宋" w:hAnsi="仿宋" w:eastAsia="仿宋" w:cs="仿宋"/>
          <w:snapToGrid/>
          <w:kern w:val="0"/>
          <w:sz w:val="24"/>
          <w:szCs w:val="24"/>
          <w:lang w:val="en-US" w:eastAsia="zh-Hans" w:bidi="ar-SA"/>
        </w:rPr>
        <w:t>1人，会计师工作经验</w:t>
      </w:r>
      <w:r>
        <w:rPr>
          <w:rFonts w:hint="eastAsia" w:ascii="仿宋" w:hAnsi="仿宋" w:eastAsia="仿宋" w:cs="仿宋"/>
          <w:snapToGrid/>
          <w:kern w:val="0"/>
          <w:sz w:val="24"/>
          <w:szCs w:val="24"/>
          <w:lang w:val="en-US" w:eastAsia="zh-CN" w:bidi="ar-SA"/>
        </w:rPr>
        <w:t>不少于</w:t>
      </w:r>
      <w:r>
        <w:rPr>
          <w:rFonts w:hint="eastAsia" w:ascii="仿宋" w:hAnsi="仿宋" w:eastAsia="仿宋" w:cs="仿宋"/>
          <w:snapToGrid/>
          <w:kern w:val="0"/>
          <w:sz w:val="24"/>
          <w:szCs w:val="24"/>
          <w:lang w:val="en-US" w:eastAsia="zh-Hans" w:bidi="ar-SA"/>
        </w:rPr>
        <w:t>3年</w:t>
      </w:r>
      <w:r>
        <w:rPr>
          <w:rFonts w:hint="eastAsia" w:ascii="仿宋" w:hAnsi="仿宋" w:eastAsia="仿宋" w:cs="仿宋"/>
          <w:snapToGrid/>
          <w:kern w:val="0"/>
          <w:sz w:val="24"/>
          <w:szCs w:val="24"/>
          <w:lang w:val="en-US" w:eastAsia="zh-CN" w:bidi="ar-SA"/>
        </w:rPr>
        <w:t>），</w:t>
      </w:r>
      <w:r>
        <w:rPr>
          <w:rFonts w:hint="eastAsia" w:ascii="仿宋" w:hAnsi="仿宋" w:eastAsia="仿宋" w:cs="仿宋"/>
          <w:snapToGrid/>
          <w:kern w:val="0"/>
          <w:sz w:val="24"/>
          <w:szCs w:val="24"/>
          <w:lang w:val="en-US" w:eastAsia="zh-Hans" w:bidi="ar-SA"/>
        </w:rPr>
        <w:t>项目负责人</w:t>
      </w:r>
      <w:r>
        <w:rPr>
          <w:rFonts w:hint="eastAsia" w:ascii="仿宋" w:hAnsi="仿宋" w:eastAsia="仿宋" w:cs="仿宋"/>
          <w:snapToGrid/>
          <w:kern w:val="0"/>
          <w:sz w:val="24"/>
          <w:szCs w:val="24"/>
          <w:lang w:val="en-US" w:eastAsia="zh-CN" w:bidi="ar-SA"/>
        </w:rPr>
        <w:t>（包含在</w:t>
      </w:r>
      <w:r>
        <w:rPr>
          <w:rFonts w:hint="eastAsia" w:ascii="仿宋" w:hAnsi="仿宋" w:eastAsia="仿宋" w:cs="仿宋"/>
          <w:snapToGrid/>
          <w:kern w:val="0"/>
          <w:sz w:val="24"/>
          <w:szCs w:val="24"/>
          <w:lang w:val="en-US" w:eastAsia="zh-Hans" w:bidi="ar-SA"/>
        </w:rPr>
        <w:t>驻场人员</w:t>
      </w:r>
      <w:r>
        <w:rPr>
          <w:rFonts w:hint="eastAsia" w:ascii="仿宋" w:hAnsi="仿宋" w:eastAsia="仿宋" w:cs="仿宋"/>
          <w:snapToGrid/>
          <w:kern w:val="0"/>
          <w:sz w:val="24"/>
          <w:szCs w:val="24"/>
          <w:lang w:val="en-US" w:eastAsia="zh-CN" w:bidi="ar-SA"/>
        </w:rPr>
        <w:t>中）</w:t>
      </w:r>
      <w:r>
        <w:rPr>
          <w:rFonts w:hint="eastAsia" w:ascii="仿宋" w:hAnsi="仿宋" w:eastAsia="仿宋" w:cs="仿宋"/>
          <w:snapToGrid/>
          <w:kern w:val="0"/>
          <w:sz w:val="24"/>
          <w:szCs w:val="24"/>
          <w:lang w:val="en-US" w:eastAsia="zh-Hans" w:bidi="ar-SA"/>
        </w:rPr>
        <w:t>具有注册会计师执业证书。</w:t>
      </w:r>
      <w:r>
        <w:rPr>
          <w:rFonts w:hint="eastAsia" w:ascii="仿宋" w:hAnsi="仿宋" w:eastAsia="仿宋" w:cs="仿宋"/>
          <w:b/>
          <w:bCs/>
          <w:snapToGrid/>
          <w:kern w:val="0"/>
          <w:sz w:val="24"/>
          <w:szCs w:val="24"/>
          <w:lang w:val="en-US" w:eastAsia="zh-CN" w:bidi="ar-SA"/>
        </w:rPr>
        <w:t>（竞选人需提供承诺函，承诺在成交后合同签订前提供以上相关人员名单明细、工作经验证明以及人员证书交由采购人备案。）</w:t>
      </w:r>
    </w:p>
    <w:p w14:paraId="2A9568A0">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both"/>
        <w:textAlignment w:val="auto"/>
        <w:outlineLvl w:val="1"/>
        <w:rPr>
          <w:rFonts w:hint="eastAsia" w:ascii="仿宋" w:hAnsi="仿宋" w:eastAsia="仿宋" w:cs="仿宋"/>
          <w:b w:val="0"/>
          <w:bCs w:val="0"/>
          <w:snapToGrid/>
          <w:color w:val="auto"/>
          <w:kern w:val="2"/>
          <w:sz w:val="24"/>
          <w:szCs w:val="24"/>
          <w:highlight w:val="none"/>
          <w:shd w:val="clear" w:color="auto" w:fill="auto"/>
          <w:lang w:val="en-US" w:eastAsia="zh-CN" w:bidi="ar-SA"/>
        </w:rPr>
      </w:pPr>
      <w:r>
        <w:rPr>
          <w:rFonts w:hint="eastAsia" w:ascii="仿宋" w:hAnsi="仿宋" w:eastAsia="仿宋" w:cs="仿宋"/>
          <w:b w:val="0"/>
          <w:bCs w:val="0"/>
          <w:snapToGrid/>
          <w:color w:val="auto"/>
          <w:kern w:val="2"/>
          <w:sz w:val="24"/>
          <w:szCs w:val="24"/>
          <w:highlight w:val="none"/>
          <w:shd w:val="clear" w:color="auto" w:fill="auto"/>
          <w:lang w:val="en-US" w:eastAsia="zh-CN" w:bidi="ar-SA"/>
        </w:rPr>
        <w:t>5、竞选人须具备良好的咨询服务经验和行业口碑，有丰富的公立医院内部控制建设经验</w:t>
      </w:r>
      <w:r>
        <w:rPr>
          <w:rFonts w:hint="eastAsia" w:ascii="仿宋" w:hAnsi="仿宋" w:eastAsia="仿宋" w:cs="仿宋"/>
          <w:b/>
          <w:bCs/>
          <w:snapToGrid/>
          <w:color w:val="auto"/>
          <w:kern w:val="2"/>
          <w:sz w:val="24"/>
          <w:szCs w:val="24"/>
          <w:highlight w:val="none"/>
          <w:shd w:val="clear" w:color="auto" w:fill="auto"/>
          <w:lang w:val="en-US" w:eastAsia="zh-CN" w:bidi="ar-SA"/>
        </w:rPr>
        <w:t>，</w:t>
      </w:r>
      <w:r>
        <w:rPr>
          <w:rFonts w:hint="eastAsia" w:ascii="仿宋" w:hAnsi="仿宋" w:eastAsia="仿宋" w:cs="仿宋"/>
          <w:b w:val="0"/>
          <w:bCs w:val="0"/>
          <w:snapToGrid/>
          <w:color w:val="auto"/>
          <w:kern w:val="2"/>
          <w:sz w:val="24"/>
          <w:szCs w:val="24"/>
          <w:highlight w:val="none"/>
          <w:shd w:val="clear" w:color="auto" w:fill="auto"/>
          <w:lang w:val="en-US" w:eastAsia="zh-CN" w:bidi="ar-SA"/>
        </w:rPr>
        <w:t xml:space="preserve">有公立医院内部控制体系设计、咨询、建设等服务经历，熟悉医疗行业经营业务。 </w:t>
      </w:r>
    </w:p>
    <w:p w14:paraId="27DEBFDF">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both"/>
        <w:textAlignment w:val="auto"/>
        <w:outlineLvl w:val="1"/>
        <w:rPr>
          <w:rFonts w:hint="eastAsia" w:ascii="仿宋" w:hAnsi="仿宋" w:eastAsia="仿宋" w:cs="仿宋"/>
          <w:b/>
          <w:bCs/>
          <w:snapToGrid/>
          <w:color w:val="000000"/>
          <w:kern w:val="2"/>
          <w:sz w:val="24"/>
          <w:szCs w:val="24"/>
          <w:highlight w:val="none"/>
          <w:lang w:val="en-US" w:eastAsia="zh-CN" w:bidi="ar-SA"/>
        </w:rPr>
      </w:pPr>
      <w:r>
        <w:rPr>
          <w:rFonts w:hint="eastAsia" w:ascii="仿宋" w:hAnsi="仿宋" w:eastAsia="仿宋" w:cs="仿宋"/>
          <w:b/>
          <w:snapToGrid/>
          <w:kern w:val="2"/>
          <w:sz w:val="24"/>
          <w:szCs w:val="24"/>
          <w:highlight w:val="none"/>
          <w:lang w:val="en-US" w:eastAsia="zh-CN" w:bidi="ar-SA"/>
        </w:rPr>
        <w:t>3.3.项目采购要求</w:t>
      </w:r>
    </w:p>
    <w:p w14:paraId="7195D685">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both"/>
        <w:textAlignment w:val="auto"/>
        <w:outlineLvl w:val="2"/>
        <w:rPr>
          <w:rFonts w:hint="eastAsia" w:ascii="仿宋" w:hAnsi="仿宋" w:eastAsia="仿宋" w:cs="仿宋"/>
          <w:b/>
          <w:bCs/>
          <w:snapToGrid/>
          <w:color w:val="000000"/>
          <w:kern w:val="2"/>
          <w:sz w:val="24"/>
          <w:szCs w:val="24"/>
          <w:highlight w:val="none"/>
          <w:lang w:val="en-US" w:eastAsia="zh-CN" w:bidi="ar-SA"/>
        </w:rPr>
      </w:pPr>
      <w:r>
        <w:rPr>
          <w:rFonts w:hint="eastAsia" w:ascii="仿宋" w:hAnsi="仿宋" w:eastAsia="仿宋" w:cs="仿宋"/>
          <w:b/>
          <w:bCs/>
          <w:snapToGrid/>
          <w:color w:val="auto"/>
          <w:kern w:val="2"/>
          <w:sz w:val="24"/>
          <w:szCs w:val="24"/>
          <w:highlight w:val="none"/>
          <w:shd w:val="clear" w:color="auto" w:fill="auto"/>
          <w:lang w:val="en-US" w:eastAsia="zh-CN" w:bidi="ar-SA"/>
        </w:rPr>
        <w:t>★</w:t>
      </w:r>
      <w:r>
        <w:rPr>
          <w:rFonts w:hint="eastAsia" w:ascii="仿宋" w:hAnsi="仿宋" w:eastAsia="仿宋" w:cs="仿宋"/>
          <w:b/>
          <w:snapToGrid/>
          <w:kern w:val="2"/>
          <w:sz w:val="24"/>
          <w:szCs w:val="24"/>
          <w:highlight w:val="none"/>
          <w:lang w:val="en-US" w:eastAsia="zh-CN" w:bidi="ar-SA"/>
        </w:rPr>
        <w:t xml:space="preserve"> 一、商务要求</w:t>
      </w:r>
    </w:p>
    <w:p w14:paraId="50A30A1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val="0"/>
        <w:snapToGrid w:val="0"/>
        <w:spacing w:beforeAutospacing="0" w:afterAutospacing="0" w:line="240" w:lineRule="auto"/>
        <w:ind w:left="0" w:right="0" w:firstLine="480" w:firstLineChars="200"/>
        <w:jc w:val="left"/>
        <w:textAlignment w:val="auto"/>
        <w:rPr>
          <w:rFonts w:hint="eastAsia" w:ascii="仿宋" w:hAnsi="仿宋" w:eastAsia="仿宋" w:cs="仿宋"/>
          <w:snapToGrid/>
          <w:color w:val="auto"/>
          <w:kern w:val="2"/>
          <w:sz w:val="24"/>
          <w:szCs w:val="24"/>
          <w:highlight w:val="none"/>
          <w:shd w:val="clear" w:color="auto" w:fill="auto"/>
          <w:lang w:val="en-US" w:eastAsia="zh-CN" w:bidi="ar-SA"/>
        </w:rPr>
      </w:pPr>
      <w:r>
        <w:rPr>
          <w:rFonts w:hint="eastAsia" w:ascii="仿宋" w:hAnsi="仿宋" w:eastAsia="仿宋" w:cs="仿宋"/>
          <w:snapToGrid/>
          <w:color w:val="auto"/>
          <w:kern w:val="2"/>
          <w:sz w:val="24"/>
          <w:szCs w:val="24"/>
          <w:highlight w:val="none"/>
          <w:shd w:val="clear" w:color="auto" w:fill="auto"/>
          <w:lang w:val="en-US" w:eastAsia="zh-CN" w:bidi="ar-SA"/>
        </w:rPr>
        <w:t>1、服务期限：自合同签订之日起6个月内完成并经采购人验收合格</w:t>
      </w:r>
      <w:r>
        <w:rPr>
          <w:rFonts w:hint="eastAsia" w:ascii="仿宋" w:hAnsi="仿宋" w:eastAsia="仿宋" w:cs="仿宋"/>
          <w:snapToGrid/>
          <w:color w:val="auto"/>
          <w:kern w:val="0"/>
          <w:sz w:val="24"/>
          <w:szCs w:val="24"/>
          <w:highlight w:val="none"/>
          <w:shd w:val="clear" w:color="auto" w:fill="auto"/>
          <w:lang w:val="en-US" w:eastAsia="zh-CN" w:bidi="ar"/>
        </w:rPr>
        <w:t>。</w:t>
      </w:r>
    </w:p>
    <w:p w14:paraId="28135A7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val="0"/>
        <w:snapToGrid w:val="0"/>
        <w:spacing w:beforeAutospacing="0" w:afterAutospacing="0" w:line="240" w:lineRule="auto"/>
        <w:ind w:left="0" w:right="0" w:firstLine="480" w:firstLineChars="200"/>
        <w:jc w:val="left"/>
        <w:textAlignment w:val="auto"/>
        <w:rPr>
          <w:rFonts w:hint="eastAsia" w:ascii="仿宋" w:hAnsi="仿宋" w:eastAsia="仿宋" w:cs="仿宋"/>
          <w:snapToGrid/>
          <w:color w:val="auto"/>
          <w:kern w:val="2"/>
          <w:sz w:val="24"/>
          <w:szCs w:val="24"/>
          <w:highlight w:val="none"/>
          <w:shd w:val="clear" w:color="auto" w:fill="auto"/>
          <w:lang w:val="en-US" w:eastAsia="zh-CN" w:bidi="ar-SA"/>
        </w:rPr>
      </w:pPr>
      <w:r>
        <w:rPr>
          <w:rFonts w:hint="eastAsia" w:ascii="仿宋" w:hAnsi="仿宋" w:eastAsia="仿宋" w:cs="仿宋"/>
          <w:snapToGrid/>
          <w:color w:val="auto"/>
          <w:kern w:val="2"/>
          <w:sz w:val="24"/>
          <w:szCs w:val="24"/>
          <w:highlight w:val="none"/>
          <w:shd w:val="clear" w:color="auto" w:fill="auto"/>
          <w:lang w:val="en-US" w:eastAsia="zh-CN" w:bidi="ar-SA"/>
        </w:rPr>
        <w:t>2、服务地点：</w:t>
      </w:r>
      <w:r>
        <w:rPr>
          <w:rFonts w:hint="eastAsia" w:ascii="仿宋" w:hAnsi="仿宋" w:eastAsia="仿宋" w:cs="仿宋"/>
          <w:b w:val="0"/>
          <w:bCs w:val="0"/>
          <w:snapToGrid/>
          <w:color w:val="auto"/>
          <w:kern w:val="0"/>
          <w:sz w:val="24"/>
          <w:szCs w:val="24"/>
          <w:highlight w:val="none"/>
          <w:shd w:val="clear" w:color="auto" w:fill="auto"/>
          <w:lang w:val="en-US" w:eastAsia="zh-CN" w:bidi="ar"/>
        </w:rPr>
        <w:t>内江市第一人民医院。</w:t>
      </w:r>
    </w:p>
    <w:p w14:paraId="7FBC9101">
      <w:pPr>
        <w:keepNext w:val="0"/>
        <w:keepLines w:val="0"/>
        <w:pageBreakBefore w:val="0"/>
        <w:widowControl/>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40" w:lineRule="auto"/>
        <w:ind w:left="0" w:right="0" w:firstLine="480" w:firstLineChars="200"/>
        <w:jc w:val="left"/>
        <w:textAlignment w:val="auto"/>
        <w:rPr>
          <w:rFonts w:hint="eastAsia" w:ascii="仿宋" w:hAnsi="仿宋" w:eastAsia="仿宋" w:cs="仿宋"/>
          <w:snapToGrid/>
          <w:color w:val="auto"/>
          <w:kern w:val="2"/>
          <w:sz w:val="24"/>
          <w:szCs w:val="24"/>
          <w:highlight w:val="none"/>
          <w:shd w:val="clear" w:color="auto" w:fill="auto"/>
          <w:lang w:val="en-US" w:eastAsia="zh-CN" w:bidi="ar-SA"/>
        </w:rPr>
      </w:pPr>
      <w:r>
        <w:rPr>
          <w:rFonts w:hint="eastAsia" w:ascii="仿宋" w:hAnsi="仿宋" w:eastAsia="仿宋" w:cs="仿宋"/>
          <w:b w:val="0"/>
          <w:bCs w:val="0"/>
          <w:snapToGrid/>
          <w:color w:val="auto"/>
          <w:kern w:val="0"/>
          <w:sz w:val="24"/>
          <w:szCs w:val="24"/>
          <w:highlight w:val="none"/>
          <w:shd w:val="clear" w:color="auto" w:fill="auto"/>
          <w:lang w:val="en-US" w:eastAsia="zh-CN" w:bidi="ar"/>
        </w:rPr>
        <w:t>3、支付方式：合同签订后，</w:t>
      </w:r>
      <w:r>
        <w:rPr>
          <w:rFonts w:hint="eastAsia" w:ascii="仿宋" w:hAnsi="仿宋" w:eastAsia="仿宋" w:cs="仿宋"/>
          <w:snapToGrid/>
          <w:color w:val="auto"/>
          <w:kern w:val="2"/>
          <w:sz w:val="24"/>
          <w:szCs w:val="24"/>
          <w:highlight w:val="none"/>
          <w:shd w:val="clear" w:color="auto" w:fill="auto"/>
          <w:lang w:val="en-US" w:eastAsia="zh-CN" w:bidi="ar-SA"/>
        </w:rPr>
        <w:t>合同签订后90日内提交技术要求的（一）、（二）、（三）项初版产出物，达到付款条件后支付合同总金额的30%，项目验收合格（9大需求科室负责人对12个项目所涉及的内容验收合格并签字）之后90个工作日内支付合同总金额的70%。</w:t>
      </w:r>
    </w:p>
    <w:p w14:paraId="55804E5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val="0"/>
        <w:snapToGrid w:val="0"/>
        <w:spacing w:beforeAutospacing="0" w:afterAutospacing="0" w:line="240" w:lineRule="auto"/>
        <w:ind w:left="0" w:right="0" w:firstLine="480" w:firstLineChars="200"/>
        <w:jc w:val="left"/>
        <w:textAlignment w:val="auto"/>
        <w:rPr>
          <w:rFonts w:hint="eastAsia" w:ascii="仿宋" w:hAnsi="仿宋" w:eastAsia="仿宋" w:cs="仿宋"/>
          <w:snapToGrid/>
          <w:color w:val="auto"/>
          <w:kern w:val="2"/>
          <w:sz w:val="24"/>
          <w:szCs w:val="24"/>
          <w:highlight w:val="none"/>
          <w:shd w:val="clear" w:color="auto" w:fill="auto"/>
          <w:lang w:val="en-US" w:eastAsia="zh-CN" w:bidi="ar-SA"/>
        </w:rPr>
      </w:pPr>
      <w:r>
        <w:rPr>
          <w:rFonts w:hint="eastAsia" w:ascii="仿宋" w:hAnsi="仿宋" w:eastAsia="仿宋" w:cs="仿宋"/>
          <w:snapToGrid/>
          <w:color w:val="auto"/>
          <w:kern w:val="2"/>
          <w:sz w:val="24"/>
          <w:szCs w:val="24"/>
          <w:highlight w:val="none"/>
          <w:shd w:val="clear" w:color="auto" w:fill="auto"/>
          <w:lang w:val="en-US" w:eastAsia="zh-CN" w:bidi="ar-SA"/>
        </w:rPr>
        <w:t>4、本项目报价包含但不限于：人工劳务、设备投入、报告及成果编制、交通、通讯、材料、资料、保险、税费、利润、采购代理服务费等一切完成本项目的费用，采购人不再额外支付其他任何费用。竞选人应根据本项目的实际与自身情况，并充分考虑不确定性因素可能导致的风险。若因竞选人原因造成的漏报、错报而导致本项目无法履行的，由竞选人负责，采购人不承担任何费用，且竞选人应退还采购人支付的服务费用。</w:t>
      </w:r>
    </w:p>
    <w:p w14:paraId="4D57A74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val="0"/>
        <w:snapToGrid w:val="0"/>
        <w:spacing w:beforeAutospacing="0" w:afterAutospacing="0" w:line="240" w:lineRule="auto"/>
        <w:ind w:left="0" w:right="0" w:firstLine="480" w:firstLineChars="200"/>
        <w:jc w:val="left"/>
        <w:textAlignment w:val="auto"/>
        <w:rPr>
          <w:rFonts w:hint="eastAsia" w:ascii="仿宋" w:hAnsi="仿宋" w:eastAsia="仿宋" w:cs="仿宋"/>
          <w:snapToGrid/>
          <w:color w:val="000000"/>
          <w:kern w:val="0"/>
          <w:sz w:val="24"/>
          <w:szCs w:val="24"/>
          <w:highlight w:val="none"/>
          <w:lang w:val="en-US" w:eastAsia="zh-CN" w:bidi="ar"/>
        </w:rPr>
      </w:pPr>
      <w:r>
        <w:rPr>
          <w:rFonts w:hint="eastAsia" w:ascii="仿宋" w:hAnsi="仿宋" w:eastAsia="仿宋" w:cs="仿宋"/>
          <w:snapToGrid/>
          <w:color w:val="auto"/>
          <w:kern w:val="2"/>
          <w:sz w:val="24"/>
          <w:szCs w:val="24"/>
          <w:highlight w:val="none"/>
          <w:shd w:val="clear" w:color="auto" w:fill="auto"/>
          <w:lang w:val="en-US" w:eastAsia="zh-CN" w:bidi="ar-SA"/>
        </w:rPr>
        <w:t>5、竞选人须提交的合规性内控体系成果资料</w:t>
      </w:r>
      <w:r>
        <w:rPr>
          <w:rFonts w:hint="eastAsia" w:ascii="仿宋" w:hAnsi="仿宋" w:eastAsia="仿宋" w:cs="仿宋"/>
          <w:snapToGrid/>
          <w:color w:val="000000"/>
          <w:kern w:val="0"/>
          <w:sz w:val="24"/>
          <w:szCs w:val="24"/>
          <w:highlight w:val="none"/>
          <w:lang w:val="en-US" w:eastAsia="zh-CN" w:bidi="ar"/>
        </w:rPr>
        <w:t>包括纸质文件和电子文件（格式按采购人需求提供），纸质文件（彩印）6套，电子文件（U盘）1套。成果资料必须签署齐全、图文清楚、图面清晰、资料完整。</w:t>
      </w:r>
    </w:p>
    <w:p w14:paraId="6B5EE26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val="0"/>
        <w:snapToGrid w:val="0"/>
        <w:spacing w:beforeAutospacing="0" w:afterAutospacing="0" w:line="240" w:lineRule="auto"/>
        <w:ind w:left="0" w:right="0" w:firstLine="480" w:firstLineChars="200"/>
        <w:jc w:val="left"/>
        <w:textAlignment w:val="auto"/>
        <w:rPr>
          <w:rFonts w:hint="eastAsia" w:ascii="仿宋" w:hAnsi="仿宋" w:eastAsia="仿宋" w:cs="仿宋"/>
          <w:snapToGrid/>
          <w:color w:val="auto"/>
          <w:kern w:val="2"/>
          <w:sz w:val="24"/>
          <w:szCs w:val="24"/>
          <w:highlight w:val="none"/>
          <w:shd w:val="clear" w:color="auto" w:fill="auto"/>
          <w:lang w:val="en-US" w:eastAsia="zh-CN" w:bidi="ar-SA"/>
        </w:rPr>
      </w:pPr>
      <w:r>
        <w:rPr>
          <w:rFonts w:hint="eastAsia" w:ascii="仿宋" w:hAnsi="仿宋" w:eastAsia="仿宋" w:cs="仿宋"/>
          <w:snapToGrid/>
          <w:color w:val="auto"/>
          <w:kern w:val="0"/>
          <w:sz w:val="24"/>
          <w:szCs w:val="24"/>
          <w:highlight w:val="none"/>
          <w:lang w:val="en-US" w:eastAsia="zh-CN" w:bidi="ar"/>
        </w:rPr>
        <w:t>6、</w:t>
      </w:r>
      <w:r>
        <w:rPr>
          <w:rFonts w:hint="eastAsia" w:ascii="仿宋" w:hAnsi="仿宋" w:eastAsia="仿宋" w:cs="仿宋"/>
          <w:snapToGrid/>
          <w:color w:val="auto"/>
          <w:kern w:val="2"/>
          <w:sz w:val="24"/>
          <w:szCs w:val="24"/>
          <w:highlight w:val="none"/>
          <w:shd w:val="clear" w:color="auto" w:fill="auto"/>
          <w:lang w:val="en-US" w:eastAsia="zh-CN" w:bidi="ar-SA"/>
        </w:rPr>
        <w:t>竞选人提交的成果资料包括以下内容：</w:t>
      </w:r>
    </w:p>
    <w:p w14:paraId="0B98249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val="0"/>
        <w:snapToGrid w:val="0"/>
        <w:spacing w:beforeAutospacing="0" w:afterAutospacing="0" w:line="240" w:lineRule="auto"/>
        <w:ind w:left="0" w:right="0" w:firstLine="480" w:firstLineChars="200"/>
        <w:jc w:val="left"/>
        <w:textAlignment w:val="auto"/>
        <w:rPr>
          <w:rFonts w:hint="eastAsia" w:ascii="仿宋" w:hAnsi="仿宋" w:eastAsia="仿宋" w:cs="仿宋"/>
          <w:snapToGrid/>
          <w:color w:val="auto"/>
          <w:kern w:val="2"/>
          <w:sz w:val="24"/>
          <w:szCs w:val="24"/>
          <w:highlight w:val="none"/>
          <w:shd w:val="clear" w:color="auto" w:fill="auto"/>
          <w:lang w:val="en-US" w:eastAsia="zh-CN" w:bidi="ar-SA"/>
        </w:rPr>
      </w:pPr>
      <w:r>
        <w:rPr>
          <w:rFonts w:hint="eastAsia" w:ascii="仿宋" w:hAnsi="仿宋" w:eastAsia="仿宋" w:cs="仿宋"/>
          <w:snapToGrid/>
          <w:color w:val="auto"/>
          <w:kern w:val="2"/>
          <w:sz w:val="24"/>
          <w:szCs w:val="24"/>
          <w:highlight w:val="none"/>
          <w:shd w:val="clear" w:color="auto" w:fill="auto"/>
          <w:lang w:val="en-US" w:eastAsia="zh-CN" w:bidi="ar-SA"/>
        </w:rPr>
        <w:t>6.1单位内部控制风险评估报告（2024年）；</w:t>
      </w:r>
    </w:p>
    <w:p w14:paraId="0C54B5B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val="0"/>
        <w:snapToGrid w:val="0"/>
        <w:spacing w:beforeAutospacing="0" w:afterAutospacing="0" w:line="240" w:lineRule="auto"/>
        <w:ind w:left="0" w:right="0" w:firstLine="480" w:firstLineChars="200"/>
        <w:jc w:val="left"/>
        <w:textAlignment w:val="auto"/>
        <w:rPr>
          <w:rFonts w:hint="eastAsia" w:ascii="仿宋" w:hAnsi="仿宋" w:eastAsia="仿宋" w:cs="仿宋"/>
          <w:snapToGrid/>
          <w:color w:val="auto"/>
          <w:kern w:val="2"/>
          <w:sz w:val="24"/>
          <w:szCs w:val="24"/>
          <w:highlight w:val="none"/>
          <w:shd w:val="clear" w:color="auto" w:fill="auto"/>
          <w:lang w:val="en-US" w:eastAsia="zh-CN" w:bidi="ar-SA"/>
        </w:rPr>
      </w:pPr>
      <w:r>
        <w:rPr>
          <w:rFonts w:hint="eastAsia" w:ascii="仿宋" w:hAnsi="仿宋" w:eastAsia="仿宋" w:cs="仿宋"/>
          <w:snapToGrid/>
          <w:color w:val="auto"/>
          <w:kern w:val="2"/>
          <w:sz w:val="24"/>
          <w:szCs w:val="24"/>
          <w:highlight w:val="none"/>
          <w:shd w:val="clear" w:color="auto" w:fill="auto"/>
          <w:lang w:val="en-US" w:eastAsia="zh-CN" w:bidi="ar-SA"/>
        </w:rPr>
        <w:t>6.2内部控制手册；</w:t>
      </w:r>
    </w:p>
    <w:p w14:paraId="2D50E06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val="0"/>
        <w:snapToGrid w:val="0"/>
        <w:spacing w:beforeAutospacing="0" w:afterAutospacing="0" w:line="240" w:lineRule="auto"/>
        <w:ind w:left="0" w:right="0" w:firstLine="480" w:firstLineChars="200"/>
        <w:jc w:val="left"/>
        <w:textAlignment w:val="auto"/>
        <w:rPr>
          <w:rFonts w:hint="eastAsia" w:ascii="仿宋" w:hAnsi="仿宋" w:eastAsia="仿宋" w:cs="仿宋"/>
          <w:snapToGrid/>
          <w:color w:val="auto"/>
          <w:kern w:val="2"/>
          <w:sz w:val="24"/>
          <w:szCs w:val="24"/>
          <w:highlight w:val="none"/>
          <w:shd w:val="clear" w:color="auto" w:fill="auto"/>
          <w:lang w:val="en-US" w:eastAsia="zh-CN" w:bidi="ar-SA"/>
        </w:rPr>
      </w:pPr>
      <w:r>
        <w:rPr>
          <w:rFonts w:hint="eastAsia" w:ascii="仿宋" w:hAnsi="仿宋" w:eastAsia="仿宋" w:cs="仿宋"/>
          <w:snapToGrid/>
          <w:color w:val="auto"/>
          <w:kern w:val="2"/>
          <w:sz w:val="24"/>
          <w:szCs w:val="24"/>
          <w:highlight w:val="none"/>
          <w:shd w:val="clear" w:color="auto" w:fill="auto"/>
          <w:lang w:val="en-US" w:eastAsia="zh-CN" w:bidi="ar-SA"/>
        </w:rPr>
        <w:t>6.3内控流程（含经济活动内控流程图、流程说明）；</w:t>
      </w:r>
    </w:p>
    <w:p w14:paraId="085763D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val="0"/>
        <w:snapToGrid w:val="0"/>
        <w:spacing w:beforeAutospacing="0" w:afterAutospacing="0" w:line="240" w:lineRule="auto"/>
        <w:ind w:left="0" w:right="0" w:firstLine="480" w:firstLineChars="200"/>
        <w:jc w:val="left"/>
        <w:textAlignment w:val="auto"/>
        <w:rPr>
          <w:rFonts w:hint="eastAsia" w:ascii="仿宋" w:hAnsi="仿宋" w:eastAsia="仿宋" w:cs="仿宋"/>
          <w:snapToGrid/>
          <w:color w:val="auto"/>
          <w:kern w:val="2"/>
          <w:sz w:val="24"/>
          <w:szCs w:val="24"/>
          <w:highlight w:val="none"/>
          <w:shd w:val="clear" w:color="auto" w:fill="auto"/>
          <w:lang w:val="en-US" w:eastAsia="zh-CN" w:bidi="ar-SA"/>
        </w:rPr>
      </w:pPr>
      <w:r>
        <w:rPr>
          <w:rFonts w:hint="eastAsia" w:ascii="仿宋" w:hAnsi="仿宋" w:eastAsia="仿宋" w:cs="仿宋"/>
          <w:snapToGrid/>
          <w:color w:val="auto"/>
          <w:kern w:val="2"/>
          <w:sz w:val="24"/>
          <w:szCs w:val="24"/>
          <w:highlight w:val="none"/>
          <w:shd w:val="clear" w:color="auto" w:fill="auto"/>
          <w:lang w:val="en-US" w:eastAsia="zh-CN" w:bidi="ar-SA"/>
        </w:rPr>
        <w:t>6.4内控制度汇编</w:t>
      </w:r>
    </w:p>
    <w:p w14:paraId="609EE8FC">
      <w:pPr>
        <w:keepNext w:val="0"/>
        <w:keepLines w:val="0"/>
        <w:pageBreakBefore w:val="0"/>
        <w:widowControl/>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40" w:lineRule="auto"/>
        <w:ind w:left="0" w:right="0" w:firstLine="480" w:firstLineChars="200"/>
        <w:jc w:val="left"/>
        <w:textAlignment w:val="auto"/>
        <w:rPr>
          <w:rFonts w:hint="eastAsia" w:ascii="仿宋" w:hAnsi="仿宋" w:eastAsia="仿宋" w:cs="仿宋"/>
          <w:snapToGrid/>
          <w:color w:val="auto"/>
          <w:kern w:val="2"/>
          <w:sz w:val="24"/>
          <w:szCs w:val="24"/>
          <w:highlight w:val="none"/>
          <w:shd w:val="clear" w:color="auto" w:fill="auto"/>
          <w:lang w:val="en-US" w:eastAsia="zh-CN" w:bidi="ar-SA"/>
        </w:rPr>
      </w:pPr>
      <w:r>
        <w:rPr>
          <w:rFonts w:hint="eastAsia" w:ascii="仿宋" w:hAnsi="仿宋" w:eastAsia="仿宋" w:cs="仿宋"/>
          <w:snapToGrid/>
          <w:color w:val="auto"/>
          <w:kern w:val="2"/>
          <w:sz w:val="24"/>
          <w:szCs w:val="24"/>
          <w:highlight w:val="none"/>
          <w:shd w:val="clear" w:color="auto" w:fill="auto"/>
          <w:lang w:val="en-US" w:eastAsia="zh-CN" w:bidi="ar-SA"/>
        </w:rPr>
        <w:t>基于采购人提供的现有内控制度对标，采购人缺失的内控制度可提供外部合规要求的内控制度参考框架；</w:t>
      </w:r>
    </w:p>
    <w:p w14:paraId="3B5DFEE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val="0"/>
        <w:snapToGrid w:val="0"/>
        <w:spacing w:beforeAutospacing="0" w:afterAutospacing="0" w:line="240" w:lineRule="auto"/>
        <w:ind w:left="0" w:right="0" w:firstLine="480" w:firstLineChars="200"/>
        <w:jc w:val="left"/>
        <w:textAlignment w:val="auto"/>
        <w:rPr>
          <w:rFonts w:hint="eastAsia" w:ascii="仿宋" w:hAnsi="仿宋" w:eastAsia="仿宋" w:cs="仿宋"/>
          <w:snapToGrid/>
          <w:color w:val="auto"/>
          <w:kern w:val="2"/>
          <w:sz w:val="24"/>
          <w:szCs w:val="24"/>
          <w:highlight w:val="none"/>
          <w:shd w:val="clear" w:color="auto" w:fill="auto"/>
          <w:lang w:val="en-US" w:eastAsia="zh-CN" w:bidi="ar-SA"/>
        </w:rPr>
      </w:pPr>
      <w:r>
        <w:rPr>
          <w:rFonts w:hint="eastAsia" w:ascii="仿宋" w:hAnsi="仿宋" w:eastAsia="仿宋" w:cs="仿宋"/>
          <w:snapToGrid/>
          <w:color w:val="auto"/>
          <w:kern w:val="2"/>
          <w:sz w:val="24"/>
          <w:szCs w:val="24"/>
          <w:highlight w:val="none"/>
          <w:shd w:val="clear" w:color="auto" w:fill="auto"/>
          <w:lang w:val="en-US" w:eastAsia="zh-CN" w:bidi="ar-SA"/>
        </w:rPr>
        <w:t>6.5外部政策汇编（合规性内部控制体系的外部政策依据）。</w:t>
      </w:r>
    </w:p>
    <w:p w14:paraId="2717269A">
      <w:pPr>
        <w:keepNext w:val="0"/>
        <w:keepLines w:val="0"/>
        <w:pageBreakBefore w:val="0"/>
        <w:widowControl/>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40" w:lineRule="auto"/>
        <w:ind w:left="0" w:right="0" w:firstLine="480" w:firstLineChars="200"/>
        <w:jc w:val="left"/>
        <w:textAlignment w:val="auto"/>
        <w:rPr>
          <w:rFonts w:hint="eastAsia" w:ascii="仿宋" w:hAnsi="仿宋" w:eastAsia="仿宋" w:cs="仿宋"/>
          <w:b w:val="0"/>
          <w:bCs w:val="0"/>
          <w:snapToGrid/>
          <w:color w:val="auto"/>
          <w:kern w:val="0"/>
          <w:sz w:val="24"/>
          <w:szCs w:val="24"/>
          <w:highlight w:val="none"/>
          <w:shd w:val="clear" w:color="auto" w:fill="auto"/>
          <w:lang w:val="en-US" w:eastAsia="zh-CN" w:bidi="ar"/>
        </w:rPr>
      </w:pPr>
      <w:r>
        <w:rPr>
          <w:rFonts w:hint="eastAsia" w:ascii="仿宋" w:hAnsi="仿宋" w:eastAsia="仿宋" w:cs="仿宋"/>
          <w:b w:val="0"/>
          <w:bCs w:val="0"/>
          <w:snapToGrid/>
          <w:color w:val="auto"/>
          <w:kern w:val="0"/>
          <w:sz w:val="24"/>
          <w:szCs w:val="24"/>
          <w:highlight w:val="none"/>
          <w:shd w:val="clear" w:color="auto" w:fill="auto"/>
          <w:lang w:val="en-US" w:eastAsia="zh-CN" w:bidi="ar"/>
        </w:rPr>
        <w:t>7、售后服务：竞选人必须严格按照竞选文件要求、响应文件中的承诺以及采购人要求提供售后服务。</w:t>
      </w:r>
    </w:p>
    <w:p w14:paraId="3A690C6E">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color w:val="auto"/>
          <w:kern w:val="2"/>
          <w:sz w:val="24"/>
          <w:szCs w:val="24"/>
          <w:highlight w:val="none"/>
          <w:shd w:val="clear" w:color="auto" w:fill="auto"/>
          <w:lang w:val="en-US" w:eastAsia="zh-CN" w:bidi="ar-SA"/>
        </w:rPr>
      </w:pPr>
      <w:r>
        <w:rPr>
          <w:rFonts w:hint="eastAsia" w:ascii="仿宋" w:hAnsi="仿宋" w:eastAsia="仿宋" w:cs="仿宋"/>
          <w:snapToGrid/>
          <w:color w:val="auto"/>
          <w:kern w:val="2"/>
          <w:sz w:val="24"/>
          <w:szCs w:val="24"/>
          <w:highlight w:val="none"/>
          <w:shd w:val="clear" w:color="auto" w:fill="auto"/>
          <w:lang w:val="en-US" w:eastAsia="zh-CN" w:bidi="ar-SA"/>
        </w:rPr>
        <w:t>8、验收：</w:t>
      </w:r>
    </w:p>
    <w:p w14:paraId="7F202AF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color w:val="auto"/>
          <w:kern w:val="2"/>
          <w:sz w:val="24"/>
          <w:szCs w:val="24"/>
          <w:highlight w:val="none"/>
          <w:shd w:val="clear" w:color="auto" w:fill="auto"/>
          <w:lang w:val="en-US" w:eastAsia="zh-CN" w:bidi="ar-SA"/>
        </w:rPr>
      </w:pPr>
      <w:r>
        <w:rPr>
          <w:rFonts w:hint="eastAsia" w:ascii="仿宋" w:hAnsi="仿宋" w:eastAsia="仿宋" w:cs="仿宋"/>
          <w:snapToGrid/>
          <w:color w:val="auto"/>
          <w:kern w:val="2"/>
          <w:sz w:val="24"/>
          <w:szCs w:val="24"/>
          <w:highlight w:val="none"/>
          <w:shd w:val="clear" w:color="auto" w:fill="auto"/>
          <w:lang w:val="en-US" w:eastAsia="zh-CN" w:bidi="ar-SA"/>
        </w:rPr>
        <w:t>8.1验收组织方式：自行验收</w:t>
      </w:r>
    </w:p>
    <w:p w14:paraId="7797E0FB">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color w:val="auto"/>
          <w:kern w:val="2"/>
          <w:sz w:val="24"/>
          <w:szCs w:val="24"/>
          <w:highlight w:val="none"/>
          <w:shd w:val="clear" w:color="auto" w:fill="auto"/>
          <w:lang w:val="en-US" w:eastAsia="zh-CN" w:bidi="ar-SA"/>
        </w:rPr>
      </w:pPr>
      <w:r>
        <w:rPr>
          <w:rFonts w:hint="eastAsia" w:ascii="仿宋" w:hAnsi="仿宋" w:eastAsia="仿宋" w:cs="仿宋"/>
          <w:snapToGrid/>
          <w:color w:val="auto"/>
          <w:kern w:val="2"/>
          <w:sz w:val="24"/>
          <w:szCs w:val="24"/>
          <w:highlight w:val="none"/>
          <w:shd w:val="clear" w:color="auto" w:fill="auto"/>
          <w:lang w:val="en-US" w:eastAsia="zh-CN" w:bidi="ar-SA"/>
        </w:rPr>
        <w:t>8.2是否邀请本项目的其他竞选人：否</w:t>
      </w:r>
    </w:p>
    <w:p w14:paraId="4744C855">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color w:val="auto"/>
          <w:kern w:val="2"/>
          <w:sz w:val="24"/>
          <w:szCs w:val="24"/>
          <w:highlight w:val="none"/>
          <w:shd w:val="clear" w:color="auto" w:fill="auto"/>
          <w:lang w:val="en-US" w:eastAsia="zh-CN" w:bidi="ar-SA"/>
        </w:rPr>
      </w:pPr>
      <w:r>
        <w:rPr>
          <w:rFonts w:hint="eastAsia" w:ascii="仿宋" w:hAnsi="仿宋" w:eastAsia="仿宋" w:cs="仿宋"/>
          <w:snapToGrid/>
          <w:color w:val="auto"/>
          <w:kern w:val="2"/>
          <w:sz w:val="24"/>
          <w:szCs w:val="24"/>
          <w:highlight w:val="none"/>
          <w:shd w:val="clear" w:color="auto" w:fill="auto"/>
          <w:lang w:val="en-US" w:eastAsia="zh-CN" w:bidi="ar-SA"/>
        </w:rPr>
        <w:t>8.3是否邀请专家：否</w:t>
      </w:r>
    </w:p>
    <w:p w14:paraId="7AD6ACA1">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color w:val="auto"/>
          <w:kern w:val="2"/>
          <w:sz w:val="24"/>
          <w:szCs w:val="24"/>
          <w:highlight w:val="none"/>
          <w:shd w:val="clear" w:color="auto" w:fill="auto"/>
          <w:lang w:val="en-US" w:eastAsia="zh-CN" w:bidi="ar-SA"/>
        </w:rPr>
      </w:pPr>
      <w:r>
        <w:rPr>
          <w:rFonts w:hint="eastAsia" w:ascii="仿宋" w:hAnsi="仿宋" w:eastAsia="仿宋" w:cs="仿宋"/>
          <w:snapToGrid/>
          <w:color w:val="auto"/>
          <w:kern w:val="2"/>
          <w:sz w:val="24"/>
          <w:szCs w:val="24"/>
          <w:highlight w:val="none"/>
          <w:shd w:val="clear" w:color="auto" w:fill="auto"/>
          <w:lang w:val="en-US" w:eastAsia="zh-CN" w:bidi="ar-SA"/>
        </w:rPr>
        <w:t>8.4是否邀请服务对象：否</w:t>
      </w:r>
    </w:p>
    <w:p w14:paraId="1ED5788B">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color w:val="auto"/>
          <w:kern w:val="2"/>
          <w:sz w:val="24"/>
          <w:szCs w:val="24"/>
          <w:highlight w:val="none"/>
          <w:shd w:val="clear" w:color="auto" w:fill="auto"/>
          <w:lang w:val="en-US" w:eastAsia="zh-CN" w:bidi="ar-SA"/>
        </w:rPr>
      </w:pPr>
      <w:r>
        <w:rPr>
          <w:rFonts w:hint="eastAsia" w:ascii="仿宋" w:hAnsi="仿宋" w:eastAsia="仿宋" w:cs="仿宋"/>
          <w:snapToGrid/>
          <w:color w:val="auto"/>
          <w:kern w:val="2"/>
          <w:sz w:val="24"/>
          <w:szCs w:val="24"/>
          <w:highlight w:val="none"/>
          <w:shd w:val="clear" w:color="auto" w:fill="auto"/>
          <w:lang w:val="en-US" w:eastAsia="zh-CN" w:bidi="ar-SA"/>
        </w:rPr>
        <w:t>8.5是否邀请第三方检测机构：否</w:t>
      </w:r>
    </w:p>
    <w:p w14:paraId="5BEC39F2">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color w:val="auto"/>
          <w:kern w:val="2"/>
          <w:sz w:val="24"/>
          <w:szCs w:val="24"/>
          <w:highlight w:val="none"/>
          <w:u w:val="single"/>
          <w:shd w:val="clear" w:color="auto" w:fill="auto"/>
          <w:lang w:val="en-US" w:eastAsia="zh-CN" w:bidi="ar-SA"/>
        </w:rPr>
      </w:pPr>
      <w:r>
        <w:rPr>
          <w:rFonts w:hint="eastAsia" w:ascii="仿宋" w:hAnsi="仿宋" w:eastAsia="仿宋" w:cs="仿宋"/>
          <w:snapToGrid/>
          <w:color w:val="auto"/>
          <w:kern w:val="2"/>
          <w:sz w:val="24"/>
          <w:szCs w:val="24"/>
          <w:highlight w:val="none"/>
          <w:shd w:val="clear" w:color="auto" w:fill="auto"/>
          <w:lang w:val="en-US" w:eastAsia="zh-CN" w:bidi="ar-SA"/>
        </w:rPr>
        <w:t>8.6履约验收程序：</w:t>
      </w:r>
      <w:r>
        <w:rPr>
          <w:rFonts w:hint="eastAsia" w:ascii="仿宋" w:hAnsi="仿宋" w:eastAsia="仿宋" w:cs="仿宋"/>
          <w:snapToGrid/>
          <w:color w:val="auto"/>
          <w:kern w:val="2"/>
          <w:sz w:val="24"/>
          <w:szCs w:val="24"/>
          <w:highlight w:val="none"/>
          <w:u w:val="none"/>
          <w:shd w:val="clear" w:color="auto" w:fill="auto"/>
          <w:lang w:val="en-US" w:eastAsia="zh-CN" w:bidi="ar-SA"/>
        </w:rPr>
        <w:t>由行政办公室及相关职能科室负责验收。</w:t>
      </w:r>
    </w:p>
    <w:p w14:paraId="3065501E">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color w:val="auto"/>
          <w:kern w:val="2"/>
          <w:sz w:val="24"/>
          <w:szCs w:val="24"/>
          <w:highlight w:val="none"/>
          <w:u w:val="single"/>
          <w:shd w:val="clear" w:color="auto" w:fill="auto"/>
          <w:lang w:val="en-US" w:eastAsia="zh-CN" w:bidi="ar-SA"/>
        </w:rPr>
      </w:pPr>
      <w:r>
        <w:rPr>
          <w:rFonts w:hint="eastAsia" w:ascii="仿宋" w:hAnsi="仿宋" w:eastAsia="仿宋" w:cs="仿宋"/>
          <w:snapToGrid/>
          <w:color w:val="auto"/>
          <w:kern w:val="2"/>
          <w:sz w:val="24"/>
          <w:szCs w:val="24"/>
          <w:highlight w:val="none"/>
          <w:shd w:val="clear" w:color="auto" w:fill="auto"/>
          <w:lang w:val="en-US" w:eastAsia="zh-CN" w:bidi="ar-SA"/>
        </w:rPr>
        <w:t>8.7履约验收时间：自合同签订之日起6个月内。</w:t>
      </w:r>
    </w:p>
    <w:p w14:paraId="5C43D4A4">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color w:val="auto"/>
          <w:kern w:val="2"/>
          <w:sz w:val="24"/>
          <w:szCs w:val="24"/>
          <w:highlight w:val="none"/>
          <w:shd w:val="clear" w:color="auto" w:fill="auto"/>
          <w:lang w:val="en-US" w:eastAsia="zh-CN" w:bidi="ar-SA"/>
        </w:rPr>
      </w:pPr>
      <w:r>
        <w:rPr>
          <w:rFonts w:hint="eastAsia" w:ascii="仿宋" w:hAnsi="仿宋" w:eastAsia="仿宋" w:cs="仿宋"/>
          <w:snapToGrid/>
          <w:color w:val="auto"/>
          <w:kern w:val="2"/>
          <w:sz w:val="24"/>
          <w:szCs w:val="24"/>
          <w:highlight w:val="none"/>
          <w:shd w:val="clear" w:color="auto" w:fill="auto"/>
          <w:lang w:val="en-US" w:eastAsia="zh-CN" w:bidi="ar-SA"/>
        </w:rPr>
        <w:t>8.8验收组织的其他事项：无。</w:t>
      </w:r>
    </w:p>
    <w:p w14:paraId="1A1B20B7">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color w:val="auto"/>
          <w:kern w:val="2"/>
          <w:sz w:val="24"/>
          <w:szCs w:val="24"/>
          <w:highlight w:val="none"/>
          <w:shd w:val="clear" w:color="auto" w:fill="auto"/>
          <w:lang w:val="en-US" w:eastAsia="zh-CN" w:bidi="ar-SA"/>
        </w:rPr>
      </w:pPr>
      <w:r>
        <w:rPr>
          <w:rFonts w:hint="eastAsia" w:ascii="仿宋" w:hAnsi="仿宋" w:eastAsia="仿宋" w:cs="仿宋"/>
          <w:snapToGrid/>
          <w:color w:val="auto"/>
          <w:kern w:val="2"/>
          <w:sz w:val="24"/>
          <w:szCs w:val="24"/>
          <w:highlight w:val="none"/>
          <w:shd w:val="clear" w:color="auto" w:fill="auto"/>
          <w:lang w:val="en-US" w:eastAsia="zh-CN" w:bidi="ar-SA"/>
        </w:rPr>
        <w:t>8.9技术履约验收内容：能够提供外部合规性内控体系成果。外部合规性内控体系包括：风险评估报告、内控手册、内控流程、内控制度、外部政策汇编。且</w:t>
      </w:r>
      <w:r>
        <w:rPr>
          <w:rFonts w:hint="eastAsia" w:ascii="仿宋" w:hAnsi="仿宋" w:eastAsia="仿宋" w:cs="仿宋"/>
          <w:i w:val="0"/>
          <w:iCs w:val="0"/>
          <w:caps w:val="0"/>
          <w:snapToGrid/>
          <w:color w:val="auto"/>
          <w:spacing w:val="0"/>
          <w:kern w:val="2"/>
          <w:sz w:val="24"/>
          <w:szCs w:val="24"/>
          <w:highlight w:val="none"/>
          <w:shd w:val="clear" w:color="auto" w:fill="auto"/>
          <w:lang w:val="en-US" w:eastAsia="zh-CN" w:bidi="ar-SA"/>
        </w:rPr>
        <w:t>严格按照竞选文件、采购合同及竞选人的响应文件中的服务要求和技术指标、约定标准进行验收。</w:t>
      </w:r>
    </w:p>
    <w:p w14:paraId="25330D05">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color w:val="auto"/>
          <w:kern w:val="2"/>
          <w:sz w:val="24"/>
          <w:szCs w:val="24"/>
          <w:highlight w:val="none"/>
          <w:shd w:val="clear" w:color="auto" w:fill="auto"/>
          <w:lang w:val="en-US" w:eastAsia="zh-CN" w:bidi="ar-SA"/>
        </w:rPr>
      </w:pPr>
      <w:r>
        <w:rPr>
          <w:rFonts w:hint="eastAsia" w:ascii="仿宋" w:hAnsi="仿宋" w:eastAsia="仿宋" w:cs="仿宋"/>
          <w:snapToGrid/>
          <w:color w:val="auto"/>
          <w:kern w:val="2"/>
          <w:sz w:val="24"/>
          <w:szCs w:val="24"/>
          <w:highlight w:val="none"/>
          <w:shd w:val="clear" w:color="auto" w:fill="auto"/>
          <w:lang w:val="en-US" w:eastAsia="zh-CN" w:bidi="ar-SA"/>
        </w:rPr>
        <w:t>8.10商务履约验收内容：</w:t>
      </w:r>
      <w:r>
        <w:rPr>
          <w:rFonts w:hint="eastAsia" w:ascii="仿宋" w:hAnsi="仿宋" w:eastAsia="仿宋" w:cs="仿宋"/>
          <w:i w:val="0"/>
          <w:iCs w:val="0"/>
          <w:caps w:val="0"/>
          <w:snapToGrid/>
          <w:color w:val="auto"/>
          <w:spacing w:val="0"/>
          <w:kern w:val="2"/>
          <w:sz w:val="24"/>
          <w:szCs w:val="24"/>
          <w:highlight w:val="none"/>
          <w:shd w:val="clear" w:color="auto" w:fill="auto"/>
          <w:lang w:val="en-US" w:eastAsia="zh-CN" w:bidi="ar-SA"/>
        </w:rPr>
        <w:t>严格按照竞选文件、采购合同及竞选人的响应文件中的商务要求内容约定标准进行验收。</w:t>
      </w:r>
    </w:p>
    <w:p w14:paraId="5B56E4AB">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color w:val="auto"/>
          <w:kern w:val="2"/>
          <w:sz w:val="24"/>
          <w:szCs w:val="24"/>
          <w:highlight w:val="none"/>
          <w:shd w:val="clear" w:color="auto" w:fill="auto"/>
          <w:lang w:val="en-US" w:eastAsia="zh-CN" w:bidi="ar-SA"/>
        </w:rPr>
      </w:pPr>
      <w:r>
        <w:rPr>
          <w:rFonts w:hint="eastAsia" w:ascii="仿宋" w:hAnsi="仿宋" w:eastAsia="仿宋" w:cs="仿宋"/>
          <w:snapToGrid/>
          <w:color w:val="auto"/>
          <w:kern w:val="2"/>
          <w:sz w:val="24"/>
          <w:szCs w:val="24"/>
          <w:highlight w:val="none"/>
          <w:shd w:val="clear" w:color="auto" w:fill="auto"/>
          <w:lang w:val="en-US" w:eastAsia="zh-CN" w:bidi="ar-SA"/>
        </w:rPr>
        <w:t>8.11履约验收标准：参照政府采购相关法律法规以及《财政部关于进一步加强政府采购需求和履约验收管理的指导意见》(财库〔2016〕205号)文件的相关要求进行验收。同时按国家有关规定、采购文件的质量要求和技术指标、成交竞选人的响应文件及承诺与合同约定进行验收。</w:t>
      </w:r>
    </w:p>
    <w:p w14:paraId="2A26FDE7">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both"/>
        <w:textAlignment w:val="auto"/>
        <w:outlineLvl w:val="3"/>
        <w:rPr>
          <w:rFonts w:hint="eastAsia" w:ascii="仿宋" w:hAnsi="仿宋" w:eastAsia="仿宋" w:cs="仿宋"/>
          <w:snapToGrid/>
          <w:color w:val="auto"/>
          <w:kern w:val="2"/>
          <w:sz w:val="24"/>
          <w:szCs w:val="24"/>
          <w:highlight w:val="none"/>
          <w:shd w:val="clear" w:color="auto" w:fill="auto"/>
          <w:lang w:val="en-US" w:eastAsia="zh-CN" w:bidi="ar-SA"/>
        </w:rPr>
      </w:pPr>
      <w:r>
        <w:rPr>
          <w:rFonts w:hint="eastAsia" w:ascii="仿宋" w:hAnsi="仿宋" w:eastAsia="仿宋" w:cs="仿宋"/>
          <w:snapToGrid/>
          <w:color w:val="auto"/>
          <w:kern w:val="2"/>
          <w:sz w:val="24"/>
          <w:szCs w:val="24"/>
          <w:highlight w:val="none"/>
          <w:shd w:val="clear" w:color="auto" w:fill="auto"/>
          <w:lang w:val="en-US" w:eastAsia="zh-CN" w:bidi="ar-SA"/>
        </w:rPr>
        <w:t>8.12履约验收其他事项：</w:t>
      </w:r>
      <w:r>
        <w:rPr>
          <w:rFonts w:hint="eastAsia" w:ascii="仿宋" w:hAnsi="仿宋" w:eastAsia="仿宋" w:cs="仿宋"/>
          <w:snapToGrid/>
          <w:color w:val="auto"/>
          <w:kern w:val="2"/>
          <w:sz w:val="24"/>
          <w:szCs w:val="24"/>
          <w:highlight w:val="none"/>
          <w:u w:val="none"/>
          <w:shd w:val="clear" w:color="auto" w:fill="auto"/>
          <w:lang w:val="en-US" w:eastAsia="zh-CN" w:bidi="ar-SA"/>
        </w:rPr>
        <w:t>无。</w:t>
      </w:r>
    </w:p>
    <w:p w14:paraId="39B51E05">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both"/>
        <w:textAlignment w:val="auto"/>
        <w:outlineLvl w:val="3"/>
        <w:rPr>
          <w:rFonts w:hint="eastAsia" w:ascii="仿宋" w:hAnsi="仿宋" w:eastAsia="仿宋" w:cs="仿宋"/>
          <w:b w:val="0"/>
          <w:bCs w:val="0"/>
          <w:snapToGrid/>
          <w:color w:val="auto"/>
          <w:kern w:val="0"/>
          <w:sz w:val="24"/>
          <w:szCs w:val="24"/>
          <w:highlight w:val="none"/>
          <w:shd w:val="clear" w:color="auto" w:fill="auto"/>
          <w:lang w:val="en-US" w:eastAsia="zh-CN" w:bidi="ar"/>
        </w:rPr>
      </w:pPr>
      <w:r>
        <w:rPr>
          <w:rFonts w:hint="eastAsia" w:ascii="仿宋" w:hAnsi="仿宋" w:eastAsia="仿宋" w:cs="仿宋"/>
          <w:snapToGrid/>
          <w:color w:val="auto"/>
          <w:kern w:val="2"/>
          <w:sz w:val="24"/>
          <w:szCs w:val="24"/>
          <w:highlight w:val="none"/>
          <w:shd w:val="clear" w:color="auto" w:fill="auto"/>
          <w:lang w:val="en-US" w:eastAsia="zh-CN" w:bidi="ar-SA"/>
        </w:rPr>
        <w:t>8.13验收交付标准和方法：必须与响应文件应答的要求一致。</w:t>
      </w:r>
    </w:p>
    <w:p w14:paraId="2F92C739">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center"/>
        <w:rPr>
          <w:rFonts w:hint="eastAsia" w:ascii="仿宋" w:hAnsi="仿宋" w:eastAsia="仿宋" w:cs="仿宋"/>
          <w:snapToGrid/>
          <w:color w:val="000000"/>
          <w:kern w:val="0"/>
          <w:sz w:val="24"/>
          <w:szCs w:val="24"/>
          <w:highlight w:val="none"/>
          <w:u w:val="none"/>
          <w:lang w:val="en-US" w:eastAsia="zh-CN" w:bidi="ar"/>
        </w:rPr>
      </w:pPr>
      <w:r>
        <w:rPr>
          <w:rFonts w:hint="eastAsia" w:ascii="仿宋" w:hAnsi="仿宋" w:eastAsia="仿宋" w:cs="仿宋"/>
          <w:b w:val="0"/>
          <w:bCs w:val="0"/>
          <w:snapToGrid/>
          <w:color w:val="auto"/>
          <w:kern w:val="0"/>
          <w:sz w:val="24"/>
          <w:szCs w:val="24"/>
          <w:highlight w:val="none"/>
          <w:shd w:val="clear" w:color="auto" w:fill="auto"/>
          <w:lang w:val="en-US" w:eastAsia="zh-CN" w:bidi="ar"/>
        </w:rPr>
        <w:t>9、其他未尽事宜以合同中约定为准。</w:t>
      </w:r>
      <w:r>
        <w:rPr>
          <w:rFonts w:hint="eastAsia" w:ascii="仿宋" w:hAnsi="仿宋" w:eastAsia="仿宋" w:cs="仿宋"/>
          <w:b/>
          <w:bCs/>
          <w:snapToGrid/>
          <w:color w:val="000000"/>
          <w:kern w:val="2"/>
          <w:sz w:val="24"/>
          <w:szCs w:val="24"/>
          <w:highlight w:val="none"/>
          <w:lang w:val="en-US" w:eastAsia="zh-CN" w:bidi="ar-SA"/>
        </w:rPr>
        <w:t xml:space="preserve"> </w:t>
      </w:r>
    </w:p>
    <w:p w14:paraId="08306BBC">
      <w:pPr>
        <w:keepNext w:val="0"/>
        <w:keepLines w:val="0"/>
        <w:pageBreakBefore w:val="0"/>
        <w:wordWrap/>
        <w:overflowPunct/>
        <w:topLinePunct w:val="0"/>
        <w:bidi w:val="0"/>
        <w:spacing w:before="0" w:beforeLines="0" w:after="0" w:afterLines="0" w:line="240" w:lineRule="auto"/>
        <w:ind w:firstLine="480" w:firstLineChars="200"/>
        <w:jc w:val="left"/>
        <w:outlineLvl w:val="1"/>
        <w:rPr>
          <w:rFonts w:hint="eastAsia" w:ascii="仿宋" w:hAnsi="仿宋" w:eastAsia="仿宋" w:cs="仿宋"/>
          <w:sz w:val="24"/>
          <w:szCs w:val="24"/>
          <w:highlight w:val="none"/>
          <w:lang w:val="en-US" w:eastAsia="zh-Hans"/>
        </w:rPr>
      </w:pPr>
      <w:r>
        <w:rPr>
          <w:rFonts w:hint="eastAsia" w:ascii="仿宋" w:hAnsi="仿宋" w:eastAsia="仿宋" w:cs="仿宋"/>
          <w:b/>
          <w:sz w:val="24"/>
          <w:szCs w:val="24"/>
          <w:highlight w:val="none"/>
          <w:lang w:val="en-US" w:eastAsia="zh-Hans"/>
        </w:rPr>
        <w:t>★3.4.其他要求</w:t>
      </w:r>
    </w:p>
    <w:p w14:paraId="6B880D48">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both"/>
        <w:textAlignment w:val="auto"/>
        <w:rPr>
          <w:rFonts w:hint="eastAsia" w:ascii="仿宋" w:hAnsi="仿宋" w:eastAsia="仿宋" w:cs="仿宋"/>
          <w:b w:val="0"/>
          <w:bCs/>
          <w:snapToGrid/>
          <w:color w:val="auto"/>
          <w:kern w:val="2"/>
          <w:sz w:val="24"/>
          <w:szCs w:val="24"/>
          <w:highlight w:val="none"/>
          <w:shd w:val="clear" w:color="auto" w:fill="auto"/>
          <w:lang w:val="en-US" w:eastAsia="zh-CN" w:bidi="ar-SA"/>
        </w:rPr>
      </w:pPr>
      <w:r>
        <w:rPr>
          <w:rFonts w:hint="eastAsia" w:ascii="仿宋" w:hAnsi="仿宋" w:eastAsia="仿宋" w:cs="仿宋"/>
          <w:b w:val="0"/>
          <w:bCs/>
          <w:snapToGrid/>
          <w:kern w:val="2"/>
          <w:sz w:val="24"/>
          <w:szCs w:val="24"/>
          <w:highlight w:val="none"/>
          <w:lang w:val="en-US" w:eastAsia="zh-CN" w:bidi="ar-SA"/>
        </w:rPr>
        <w:t>一、</w:t>
      </w:r>
      <w:r>
        <w:rPr>
          <w:rFonts w:hint="eastAsia" w:ascii="仿宋" w:hAnsi="仿宋" w:eastAsia="仿宋" w:cs="仿宋"/>
          <w:b w:val="0"/>
          <w:bCs/>
          <w:snapToGrid/>
          <w:color w:val="auto"/>
          <w:kern w:val="2"/>
          <w:sz w:val="24"/>
          <w:szCs w:val="24"/>
          <w:highlight w:val="none"/>
          <w:shd w:val="clear" w:color="auto" w:fill="auto"/>
          <w:lang w:val="en-US" w:eastAsia="zh-CN" w:bidi="ar-SA"/>
        </w:rPr>
        <w:t>违约责任与解决争议的方法：</w:t>
      </w:r>
    </w:p>
    <w:p w14:paraId="77E2CCB5">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both"/>
        <w:textAlignment w:val="auto"/>
        <w:rPr>
          <w:rFonts w:hint="eastAsia" w:ascii="仿宋" w:hAnsi="仿宋" w:eastAsia="仿宋" w:cs="仿宋"/>
          <w:b w:val="0"/>
          <w:bCs/>
          <w:snapToGrid/>
          <w:color w:val="auto"/>
          <w:kern w:val="2"/>
          <w:sz w:val="24"/>
          <w:szCs w:val="24"/>
          <w:highlight w:val="none"/>
          <w:shd w:val="clear" w:color="auto" w:fill="auto"/>
          <w:lang w:val="en-US" w:eastAsia="zh-CN" w:bidi="ar-SA"/>
        </w:rPr>
      </w:pPr>
      <w:r>
        <w:rPr>
          <w:rFonts w:hint="eastAsia" w:ascii="仿宋" w:hAnsi="仿宋" w:eastAsia="仿宋" w:cs="仿宋"/>
          <w:b w:val="0"/>
          <w:bCs/>
          <w:snapToGrid/>
          <w:kern w:val="2"/>
          <w:sz w:val="24"/>
          <w:szCs w:val="24"/>
          <w:highlight w:val="none"/>
          <w:lang w:val="en-US" w:eastAsia="zh-CN" w:bidi="ar-SA"/>
        </w:rPr>
        <w:t>1、</w:t>
      </w:r>
      <w:r>
        <w:rPr>
          <w:rFonts w:hint="eastAsia" w:ascii="仿宋" w:hAnsi="仿宋" w:eastAsia="仿宋" w:cs="仿宋"/>
          <w:b w:val="0"/>
          <w:bCs/>
          <w:snapToGrid/>
          <w:color w:val="auto"/>
          <w:kern w:val="2"/>
          <w:sz w:val="24"/>
          <w:szCs w:val="24"/>
          <w:highlight w:val="none"/>
          <w:shd w:val="clear" w:color="auto" w:fill="auto"/>
          <w:lang w:val="en-US" w:eastAsia="zh-CN" w:bidi="ar-SA"/>
        </w:rPr>
        <w:t xml:space="preserve">违约责任 </w:t>
      </w:r>
    </w:p>
    <w:p w14:paraId="61ED6E9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both"/>
        <w:textAlignment w:val="auto"/>
        <w:rPr>
          <w:rFonts w:hint="eastAsia" w:ascii="仿宋" w:hAnsi="仿宋" w:eastAsia="仿宋" w:cs="仿宋"/>
          <w:b w:val="0"/>
          <w:bCs/>
          <w:snapToGrid/>
          <w:color w:val="auto"/>
          <w:kern w:val="2"/>
          <w:sz w:val="24"/>
          <w:szCs w:val="24"/>
          <w:highlight w:val="none"/>
          <w:u w:val="none"/>
          <w:shd w:val="clear" w:color="auto" w:fill="auto"/>
          <w:lang w:val="en-US" w:eastAsia="zh-CN" w:bidi="ar-SA"/>
        </w:rPr>
      </w:pPr>
      <w:r>
        <w:rPr>
          <w:rFonts w:hint="eastAsia" w:ascii="仿宋" w:hAnsi="仿宋" w:eastAsia="仿宋" w:cs="仿宋"/>
          <w:b w:val="0"/>
          <w:bCs/>
          <w:snapToGrid/>
          <w:color w:val="auto"/>
          <w:kern w:val="2"/>
          <w:sz w:val="24"/>
          <w:szCs w:val="24"/>
          <w:highlight w:val="none"/>
          <w:u w:val="none"/>
          <w:shd w:val="clear" w:fill="auto"/>
          <w:lang w:val="en-US" w:eastAsia="zh-CN" w:bidi="ar-SA"/>
        </w:rPr>
        <w:t>①</w:t>
      </w:r>
      <w:r>
        <w:rPr>
          <w:rFonts w:hint="eastAsia" w:ascii="仿宋" w:hAnsi="仿宋" w:eastAsia="仿宋" w:cs="仿宋"/>
          <w:b w:val="0"/>
          <w:bCs/>
          <w:snapToGrid/>
          <w:color w:val="auto"/>
          <w:kern w:val="2"/>
          <w:sz w:val="24"/>
          <w:szCs w:val="24"/>
          <w:highlight w:val="none"/>
          <w:u w:val="none"/>
          <w:shd w:val="clear" w:color="auto" w:fill="auto"/>
          <w:lang w:val="en-US" w:eastAsia="zh-CN" w:bidi="ar-SA"/>
        </w:rPr>
        <w:t>如成交中选人不能按时完成的，每逾期一天向采购人支付合同金额1%的违约金，逾期5天仍不能完成的，采购人有权单方面终止合同、并要求成交中选人退还已支付费用，同时成交中选人还须向采购人支付合同金额5%的违约金，且还需根据给采购人造成的损失情况向采购人赔偿。</w:t>
      </w:r>
    </w:p>
    <w:p w14:paraId="5AAE65A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both"/>
        <w:textAlignment w:val="auto"/>
        <w:rPr>
          <w:rFonts w:hint="eastAsia" w:ascii="仿宋" w:hAnsi="仿宋" w:eastAsia="仿宋" w:cs="仿宋"/>
          <w:b w:val="0"/>
          <w:bCs/>
          <w:snapToGrid/>
          <w:color w:val="auto"/>
          <w:kern w:val="2"/>
          <w:sz w:val="24"/>
          <w:szCs w:val="24"/>
          <w:highlight w:val="none"/>
          <w:u w:val="none"/>
          <w:shd w:val="clear" w:color="auto" w:fill="auto"/>
          <w:lang w:val="en-US" w:eastAsia="zh-CN" w:bidi="ar-SA"/>
        </w:rPr>
      </w:pPr>
      <w:r>
        <w:rPr>
          <w:rFonts w:hint="eastAsia" w:ascii="仿宋" w:hAnsi="仿宋" w:eastAsia="仿宋" w:cs="仿宋"/>
          <w:b w:val="0"/>
          <w:bCs/>
          <w:snapToGrid/>
          <w:color w:val="auto"/>
          <w:kern w:val="2"/>
          <w:sz w:val="24"/>
          <w:szCs w:val="24"/>
          <w:highlight w:val="none"/>
          <w:u w:val="none"/>
          <w:shd w:val="clear" w:fill="auto"/>
          <w:lang w:val="en-US" w:eastAsia="zh-CN" w:bidi="ar-SA"/>
        </w:rPr>
        <w:t>②</w:t>
      </w:r>
      <w:r>
        <w:rPr>
          <w:rFonts w:hint="eastAsia" w:ascii="仿宋" w:hAnsi="仿宋" w:eastAsia="仿宋" w:cs="仿宋"/>
          <w:b w:val="0"/>
          <w:bCs/>
          <w:snapToGrid/>
          <w:color w:val="auto"/>
          <w:kern w:val="2"/>
          <w:sz w:val="24"/>
          <w:szCs w:val="24"/>
          <w:highlight w:val="none"/>
          <w:u w:val="none"/>
          <w:shd w:val="clear" w:color="auto" w:fill="auto"/>
          <w:lang w:val="en-US" w:eastAsia="zh-CN" w:bidi="ar-SA"/>
        </w:rPr>
        <w:t>若成交中选人的服务与竞选文件要求不符或履约过程中有违约行为的，采购人有权要求成交中选人退还已支付费用。</w:t>
      </w:r>
    </w:p>
    <w:p w14:paraId="499A9431">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both"/>
        <w:textAlignment w:val="auto"/>
        <w:rPr>
          <w:rFonts w:hint="eastAsia" w:ascii="仿宋" w:hAnsi="仿宋" w:eastAsia="仿宋" w:cs="仿宋"/>
          <w:b w:val="0"/>
          <w:bCs/>
          <w:snapToGrid/>
          <w:color w:val="auto"/>
          <w:kern w:val="2"/>
          <w:sz w:val="24"/>
          <w:szCs w:val="24"/>
          <w:highlight w:val="none"/>
          <w:u w:val="none"/>
          <w:shd w:val="clear" w:color="auto" w:fill="auto"/>
          <w:lang w:val="en-US" w:eastAsia="zh-CN" w:bidi="ar-SA"/>
        </w:rPr>
      </w:pPr>
      <w:r>
        <w:rPr>
          <w:rFonts w:hint="eastAsia" w:ascii="仿宋" w:hAnsi="仿宋" w:eastAsia="仿宋" w:cs="仿宋"/>
          <w:b w:val="0"/>
          <w:bCs/>
          <w:snapToGrid/>
          <w:color w:val="auto"/>
          <w:kern w:val="2"/>
          <w:sz w:val="24"/>
          <w:szCs w:val="24"/>
          <w:highlight w:val="none"/>
          <w:u w:val="none"/>
          <w:shd w:val="clear" w:fill="auto"/>
          <w:lang w:val="en-US" w:eastAsia="zh-CN" w:bidi="ar-SA"/>
        </w:rPr>
        <w:t>③</w:t>
      </w:r>
      <w:r>
        <w:rPr>
          <w:rFonts w:hint="eastAsia" w:ascii="仿宋" w:hAnsi="仿宋" w:eastAsia="仿宋" w:cs="仿宋"/>
          <w:b w:val="0"/>
          <w:bCs/>
          <w:snapToGrid/>
          <w:color w:val="auto"/>
          <w:kern w:val="2"/>
          <w:sz w:val="24"/>
          <w:szCs w:val="24"/>
          <w:highlight w:val="none"/>
          <w:u w:val="none"/>
          <w:shd w:val="clear" w:color="auto" w:fill="auto"/>
          <w:lang w:val="en-US" w:eastAsia="zh-CN" w:bidi="ar-SA"/>
        </w:rPr>
        <w:t>其他违约责任按照《中华人民共和国民法典》相关条款执行。</w:t>
      </w:r>
    </w:p>
    <w:p w14:paraId="07EDA42D">
      <w:pPr>
        <w:keepNext w:val="0"/>
        <w:keepLines w:val="0"/>
        <w:pageBreakBefore w:val="0"/>
        <w:widowControl w:val="0"/>
        <w:numPr>
          <w:ilvl w:val="-1"/>
          <w:numId w:val="0"/>
        </w:numPr>
        <w:kinsoku/>
        <w:wordWrap/>
        <w:overflowPunct/>
        <w:topLinePunct w:val="0"/>
        <w:autoSpaceDE/>
        <w:autoSpaceDN/>
        <w:bidi w:val="0"/>
        <w:adjustRightInd/>
        <w:snapToGrid/>
        <w:spacing w:line="240" w:lineRule="auto"/>
        <w:ind w:firstLine="480" w:firstLineChars="200"/>
        <w:jc w:val="both"/>
        <w:textAlignment w:val="auto"/>
        <w:rPr>
          <w:rFonts w:hint="eastAsia" w:ascii="仿宋" w:hAnsi="仿宋" w:eastAsia="仿宋" w:cs="仿宋"/>
          <w:b w:val="0"/>
          <w:bCs w:val="0"/>
          <w:snapToGrid/>
          <w:color w:val="auto"/>
          <w:kern w:val="2"/>
          <w:sz w:val="24"/>
          <w:szCs w:val="24"/>
          <w:highlight w:val="none"/>
          <w:shd w:val="clear" w:color="auto" w:fill="auto"/>
          <w:lang w:val="en-US" w:eastAsia="zh-CN" w:bidi="ar-SA"/>
        </w:rPr>
      </w:pPr>
      <w:r>
        <w:rPr>
          <w:rFonts w:hint="eastAsia" w:ascii="仿宋" w:hAnsi="仿宋" w:eastAsia="仿宋" w:cs="仿宋"/>
          <w:b w:val="0"/>
          <w:bCs/>
          <w:snapToGrid/>
          <w:kern w:val="2"/>
          <w:sz w:val="24"/>
          <w:szCs w:val="24"/>
          <w:highlight w:val="none"/>
          <w:lang w:val="en-US" w:eastAsia="zh-CN" w:bidi="ar-SA"/>
        </w:rPr>
        <w:t>2、</w:t>
      </w:r>
      <w:r>
        <w:rPr>
          <w:rFonts w:hint="eastAsia" w:ascii="仿宋" w:hAnsi="仿宋" w:eastAsia="仿宋" w:cs="仿宋"/>
          <w:b w:val="0"/>
          <w:bCs/>
          <w:snapToGrid/>
          <w:color w:val="auto"/>
          <w:kern w:val="2"/>
          <w:sz w:val="24"/>
          <w:szCs w:val="24"/>
          <w:highlight w:val="none"/>
          <w:shd w:val="clear" w:color="auto" w:fill="auto"/>
          <w:lang w:val="en-US" w:eastAsia="zh-CN" w:bidi="ar-SA"/>
        </w:rPr>
        <w:t>解决合</w:t>
      </w:r>
      <w:r>
        <w:rPr>
          <w:rFonts w:hint="eastAsia" w:ascii="仿宋" w:hAnsi="仿宋" w:eastAsia="仿宋" w:cs="仿宋"/>
          <w:b w:val="0"/>
          <w:bCs w:val="0"/>
          <w:snapToGrid/>
          <w:color w:val="auto"/>
          <w:kern w:val="2"/>
          <w:sz w:val="24"/>
          <w:szCs w:val="24"/>
          <w:highlight w:val="none"/>
          <w:shd w:val="clear" w:color="auto" w:fill="auto"/>
          <w:lang w:val="en-US" w:eastAsia="zh-CN" w:bidi="ar-SA"/>
        </w:rPr>
        <w:t xml:space="preserve">同纠纷的方式 </w:t>
      </w:r>
    </w:p>
    <w:p w14:paraId="77ABD05D">
      <w:pPr>
        <w:keepNext w:val="0"/>
        <w:keepLines w:val="0"/>
        <w:pageBreakBefore w:val="0"/>
        <w:wordWrap/>
        <w:overflowPunct/>
        <w:topLinePunct w:val="0"/>
        <w:bidi w:val="0"/>
        <w:spacing w:line="240" w:lineRule="auto"/>
        <w:ind w:firstLine="480" w:firstLineChars="200"/>
        <w:rPr>
          <w:rFonts w:hint="eastAsia" w:ascii="仿宋" w:hAnsi="仿宋" w:eastAsia="仿宋" w:cs="仿宋"/>
          <w:sz w:val="24"/>
          <w:szCs w:val="24"/>
        </w:rPr>
      </w:pPr>
      <w:bookmarkStart w:id="0" w:name="_GoBack"/>
      <w:bookmarkEnd w:id="0"/>
      <w:r>
        <w:rPr>
          <w:rFonts w:hint="eastAsia" w:ascii="仿宋" w:hAnsi="仿宋" w:eastAsia="仿宋" w:cs="仿宋"/>
          <w:b w:val="0"/>
          <w:bCs w:val="0"/>
          <w:snapToGrid/>
          <w:color w:val="auto"/>
          <w:kern w:val="2"/>
          <w:sz w:val="24"/>
          <w:szCs w:val="24"/>
          <w:highlight w:val="none"/>
          <w:shd w:val="clear" w:color="auto" w:fill="auto"/>
          <w:lang w:val="en-US" w:eastAsia="zh-CN" w:bidi="ar-SA"/>
        </w:rPr>
        <w:t>合同履行期间，若双方发生争议，可协商或由有关部门调解解决，协商或调解不成的，可向采购人所在地人民法院依法提起诉讼。</w:t>
      </w:r>
    </w:p>
    <w:sectPr>
      <w:pgSz w:w="11850" w:h="16783"/>
      <w:pgMar w:top="1417" w:right="1417" w:bottom="1417" w:left="1417" w:header="1644" w:footer="992" w:gutter="0"/>
      <w:pgNumType w:fmt="decimal" w:start="1"/>
      <w:cols w:space="0" w:num="1"/>
      <w:rtlGutter w:val="0"/>
      <w:docGrid w:type="linesAndChars" w:linePitch="464"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仿宋_GB18030">
    <w:panose1 w:val="02000000000000000000"/>
    <w:charset w:val="86"/>
    <w:family w:val="auto"/>
    <w:pitch w:val="default"/>
    <w:sig w:usb0="00000001" w:usb1="08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gutterAtTop/>
  <w:documentProtection w:enforcement="0"/>
  <w:defaultTabStop w:val="420"/>
  <w:drawingGridVerticalSpacing w:val="156"/>
  <w:displayHorizontalDrawingGridEvery w:val="1"/>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EDE75CD"/>
    <w:rsid w:val="063053A6"/>
    <w:rsid w:val="09D71932"/>
    <w:rsid w:val="0EDE75CD"/>
    <w:rsid w:val="488B6342"/>
    <w:rsid w:val="53D8021B"/>
    <w:rsid w:val="70D77E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方正仿宋_GB18030" w:cs="Arial"/>
      <w:snapToGrid w:val="0"/>
      <w:color w:val="000000"/>
      <w:kern w:val="0"/>
      <w:sz w:val="28"/>
      <w:szCs w:val="21"/>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0</Words>
  <Characters>0</Characters>
  <Lines>0</Lines>
  <Paragraphs>0</Paragraphs>
  <TotalTime>0</TotalTime>
  <ScaleCrop>false</ScaleCrop>
  <LinksUpToDate>false</LinksUpToDate>
  <CharactersWithSpaces>0</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2025-02-26T11:18:00Z</dcterms:created>
  <dc:creator>SJ</dc:creator>
  <cp:lastModifiedBy>SJ</cp:lastModifiedBy>
  <dcterms:modified xsi:type="dcterms:W3CDTF">2025-02-26T11:20:04Z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D1065F1D60684ADB91D941EB29802B06_13</vt:lpwstr>
  </property>
  <property fmtid="{D5CDD505-2E9C-101B-9397-08002B2CF9AE}" pid="4" name="KSOTemplateDocerSaveRecord">
    <vt:lpwstr>eyJoZGlkIjoiNDQ0ZGEzNDA1Mzk1NGMxNTM2OGY4YzIyNzI3YTljNDMiLCJ1c2VySWQiOiIyNTYwMTc2MTQifQ==</vt:lpwstr>
  </property>
</Properties>
</file>