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72138B">
      <w:pPr>
        <w:numPr>
          <w:ilvl w:val="0"/>
          <w:numId w:val="1"/>
        </w:numPr>
        <w:spacing w:line="360" w:lineRule="auto"/>
        <w:jc w:val="center"/>
        <w:outlineLvl w:val="0"/>
        <w:rPr>
          <w:rFonts w:hint="eastAsia" w:hAnsi="宋体" w:cs="宋体"/>
          <w:b/>
          <w:sz w:val="32"/>
          <w:szCs w:val="32"/>
          <w:highlight w:val="none"/>
        </w:rPr>
      </w:pPr>
      <w:bookmarkStart w:id="0" w:name="_Toc12365"/>
      <w:bookmarkStart w:id="1" w:name="_Toc5909"/>
      <w:bookmarkStart w:id="2" w:name="_Toc11521"/>
      <w:bookmarkStart w:id="3" w:name="_Toc8482"/>
      <w:bookmarkStart w:id="4" w:name="_Toc10056"/>
      <w:bookmarkStart w:id="5" w:name="_Toc19831"/>
      <w:bookmarkStart w:id="6" w:name="_Toc31430"/>
      <w:bookmarkStart w:id="7" w:name="_Toc14636"/>
      <w:r>
        <w:rPr>
          <w:rFonts w:hint="eastAsia" w:hAnsi="宋体" w:cs="宋体"/>
          <w:b/>
          <w:sz w:val="32"/>
          <w:szCs w:val="32"/>
          <w:highlight w:val="none"/>
        </w:rPr>
        <w:t>采购项目技术、服务、采购合同内容条款及其他</w:t>
      </w:r>
      <w:bookmarkEnd w:id="0"/>
      <w:bookmarkStart w:id="8" w:name="_Toc23870"/>
      <w:bookmarkStart w:id="9" w:name="_Toc7107"/>
      <w:r>
        <w:rPr>
          <w:rFonts w:hint="eastAsia" w:hAnsi="宋体" w:cs="宋体"/>
          <w:b/>
          <w:sz w:val="32"/>
          <w:szCs w:val="32"/>
          <w:highlight w:val="none"/>
        </w:rPr>
        <w:t>商务要求</w:t>
      </w:r>
      <w:bookmarkEnd w:id="1"/>
      <w:bookmarkEnd w:id="2"/>
      <w:bookmarkEnd w:id="3"/>
      <w:bookmarkEnd w:id="4"/>
      <w:bookmarkEnd w:id="5"/>
      <w:bookmarkEnd w:id="6"/>
      <w:bookmarkEnd w:id="7"/>
      <w:bookmarkEnd w:id="8"/>
      <w:bookmarkEnd w:id="9"/>
    </w:p>
    <w:p w14:paraId="09B9DC2B">
      <w:pPr>
        <w:tabs>
          <w:tab w:val="left" w:pos="1546"/>
        </w:tabs>
        <w:autoSpaceDE w:val="0"/>
        <w:autoSpaceDN w:val="0"/>
        <w:adjustRightInd w:val="0"/>
        <w:spacing w:line="440" w:lineRule="exact"/>
        <w:ind w:firstLine="458" w:firstLineChars="200"/>
        <w:jc w:val="left"/>
        <w:rPr>
          <w:rFonts w:hint="eastAsia" w:hAnsi="宋体" w:cs="宋体"/>
          <w:b/>
          <w:spacing w:val="-6"/>
          <w:sz w:val="24"/>
          <w:highlight w:val="none"/>
        </w:rPr>
      </w:pPr>
      <w:r>
        <w:rPr>
          <w:rFonts w:hint="eastAsia" w:hAnsi="宋体" w:cs="宋体"/>
          <w:b/>
          <w:spacing w:val="-6"/>
          <w:sz w:val="24"/>
          <w:highlight w:val="none"/>
        </w:rPr>
        <w:t>一、项目概况</w:t>
      </w:r>
    </w:p>
    <w:p w14:paraId="3FD24544">
      <w:pPr>
        <w:tabs>
          <w:tab w:val="left" w:pos="1546"/>
        </w:tabs>
        <w:autoSpaceDE w:val="0"/>
        <w:autoSpaceDN w:val="0"/>
        <w:adjustRightInd w:val="0"/>
        <w:spacing w:line="440" w:lineRule="exact"/>
        <w:ind w:firstLine="480" w:firstLineChars="200"/>
        <w:jc w:val="left"/>
        <w:rPr>
          <w:rFonts w:hint="eastAsia" w:hAnsi="宋体" w:cs="宋体"/>
          <w:sz w:val="24"/>
          <w:highlight w:val="none"/>
        </w:rPr>
      </w:pPr>
      <w:r>
        <w:rPr>
          <w:rFonts w:hint="eastAsia" w:ascii="宋体" w:hAnsi="宋体" w:eastAsia="宋体" w:cs="宋体"/>
          <w:sz w:val="24"/>
          <w:highlight w:val="none"/>
          <w:lang w:val="en-US" w:eastAsia="zh-CN"/>
        </w:rPr>
        <w:t>为采购单位提供射线装置场所建设项目的职业病危害放射防护预评价、控制效果评价、环境影响评价、竣工环境保护验收检测服务并提供相应报告</w:t>
      </w:r>
      <w:r>
        <w:rPr>
          <w:rFonts w:hint="eastAsia" w:hAnsi="宋体" w:cs="宋体"/>
          <w:sz w:val="24"/>
          <w:highlight w:val="none"/>
        </w:rPr>
        <w:t>。</w:t>
      </w:r>
    </w:p>
    <w:p w14:paraId="27A7CDE4">
      <w:pPr>
        <w:tabs>
          <w:tab w:val="left" w:pos="1546"/>
        </w:tabs>
        <w:autoSpaceDE w:val="0"/>
        <w:autoSpaceDN w:val="0"/>
        <w:adjustRightInd w:val="0"/>
        <w:spacing w:line="440" w:lineRule="exact"/>
        <w:ind w:firstLine="482" w:firstLineChars="200"/>
        <w:jc w:val="left"/>
        <w:rPr>
          <w:rFonts w:hint="eastAsia" w:hAnsi="宋体" w:cs="宋体"/>
          <w:b/>
          <w:spacing w:val="-6"/>
          <w:sz w:val="24"/>
          <w:highlight w:val="none"/>
        </w:rPr>
      </w:pPr>
      <w:r>
        <w:rPr>
          <w:rFonts w:hint="eastAsia" w:hAnsi="宋体" w:cs="宋体"/>
          <w:b/>
          <w:bCs/>
          <w:sz w:val="24"/>
          <w:szCs w:val="24"/>
          <w:highlight w:val="none"/>
        </w:rPr>
        <w:t>★</w:t>
      </w:r>
      <w:r>
        <w:rPr>
          <w:rFonts w:hint="eastAsia" w:hAnsi="宋体" w:cs="宋体"/>
          <w:b/>
          <w:spacing w:val="-6"/>
          <w:sz w:val="24"/>
          <w:highlight w:val="none"/>
        </w:rPr>
        <w:t>二、</w:t>
      </w:r>
      <w:r>
        <w:rPr>
          <w:rFonts w:hint="eastAsia" w:hAnsi="宋体" w:cs="宋体"/>
          <w:b/>
          <w:spacing w:val="-6"/>
          <w:sz w:val="24"/>
          <w:highlight w:val="none"/>
          <w:lang w:val="en-US" w:eastAsia="zh-CN"/>
        </w:rPr>
        <w:t>服务</w:t>
      </w:r>
      <w:r>
        <w:rPr>
          <w:rFonts w:hint="eastAsia" w:hAnsi="宋体" w:cs="宋体"/>
          <w:b/>
          <w:spacing w:val="-6"/>
          <w:sz w:val="24"/>
          <w:highlight w:val="none"/>
        </w:rPr>
        <w:t>清单</w:t>
      </w:r>
    </w:p>
    <w:tbl>
      <w:tblPr>
        <w:tblStyle w:val="5"/>
        <w:tblW w:w="983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12"/>
        <w:gridCol w:w="3125"/>
        <w:gridCol w:w="2025"/>
        <w:gridCol w:w="1238"/>
        <w:gridCol w:w="1075"/>
        <w:gridCol w:w="1361"/>
      </w:tblGrid>
      <w:tr w14:paraId="6BB46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trPr>
        <w:tc>
          <w:tcPr>
            <w:tcW w:w="1012" w:type="dxa"/>
            <w:noWrap w:val="0"/>
            <w:vAlign w:val="center"/>
          </w:tcPr>
          <w:p w14:paraId="100D7F52">
            <w:pPr>
              <w:tabs>
                <w:tab w:val="left" w:pos="1546"/>
              </w:tabs>
              <w:autoSpaceDE w:val="0"/>
              <w:autoSpaceDN w:val="0"/>
              <w:adjustRightInd w:val="0"/>
              <w:spacing w:line="440" w:lineRule="exact"/>
              <w:jc w:val="center"/>
              <w:rPr>
                <w:rFonts w:hint="eastAsia" w:ascii="宋体" w:hAnsi="宋体" w:eastAsia="宋体" w:cs="宋体"/>
                <w:b/>
                <w:color w:val="auto"/>
                <w:spacing w:val="-6"/>
                <w:sz w:val="24"/>
                <w:szCs w:val="24"/>
                <w:highlight w:val="none"/>
                <w:vertAlign w:val="baseline"/>
                <w:lang w:val="en-US" w:eastAsia="zh-CN"/>
              </w:rPr>
            </w:pPr>
            <w:r>
              <w:rPr>
                <w:rFonts w:hint="eastAsia" w:ascii="宋体" w:hAnsi="宋体" w:eastAsia="宋体" w:cs="宋体"/>
                <w:b/>
                <w:color w:val="auto"/>
                <w:spacing w:val="-6"/>
                <w:sz w:val="24"/>
                <w:szCs w:val="24"/>
                <w:highlight w:val="none"/>
                <w:vertAlign w:val="baseline"/>
                <w:lang w:val="en-US" w:eastAsia="zh-CN"/>
              </w:rPr>
              <w:t>序号</w:t>
            </w:r>
          </w:p>
        </w:tc>
        <w:tc>
          <w:tcPr>
            <w:tcW w:w="3125" w:type="dxa"/>
            <w:noWrap w:val="0"/>
            <w:vAlign w:val="center"/>
          </w:tcPr>
          <w:p w14:paraId="1DFF27A4">
            <w:pPr>
              <w:tabs>
                <w:tab w:val="left" w:pos="1546"/>
              </w:tabs>
              <w:autoSpaceDE w:val="0"/>
              <w:autoSpaceDN w:val="0"/>
              <w:adjustRightInd w:val="0"/>
              <w:spacing w:line="440" w:lineRule="exact"/>
              <w:jc w:val="center"/>
              <w:rPr>
                <w:rFonts w:hint="eastAsia" w:ascii="宋体" w:hAnsi="宋体" w:eastAsia="宋体" w:cs="宋体"/>
                <w:b/>
                <w:color w:val="auto"/>
                <w:spacing w:val="-6"/>
                <w:sz w:val="24"/>
                <w:szCs w:val="24"/>
                <w:highlight w:val="none"/>
                <w:vertAlign w:val="baseline"/>
              </w:rPr>
            </w:pPr>
            <w:r>
              <w:rPr>
                <w:rFonts w:hint="eastAsia" w:ascii="宋体" w:hAnsi="宋体" w:eastAsia="宋体" w:cs="宋体"/>
                <w:b/>
                <w:bCs/>
                <w:color w:val="000000"/>
                <w:sz w:val="24"/>
                <w:szCs w:val="24"/>
                <w:highlight w:val="none"/>
                <w:shd w:val="clear" w:color="auto" w:fill="auto"/>
                <w:lang w:val="en-US" w:eastAsia="zh-CN"/>
              </w:rPr>
              <w:t>名称</w:t>
            </w:r>
          </w:p>
        </w:tc>
        <w:tc>
          <w:tcPr>
            <w:tcW w:w="2025" w:type="dxa"/>
            <w:noWrap w:val="0"/>
            <w:vAlign w:val="center"/>
          </w:tcPr>
          <w:p w14:paraId="62D81E75">
            <w:pPr>
              <w:tabs>
                <w:tab w:val="left" w:pos="1546"/>
              </w:tabs>
              <w:autoSpaceDE w:val="0"/>
              <w:autoSpaceDN w:val="0"/>
              <w:adjustRightInd w:val="0"/>
              <w:spacing w:line="440" w:lineRule="exact"/>
              <w:jc w:val="center"/>
              <w:rPr>
                <w:rFonts w:hint="eastAsia" w:ascii="宋体" w:hAnsi="宋体" w:eastAsia="宋体" w:cs="宋体"/>
                <w:b/>
                <w:color w:val="auto"/>
                <w:spacing w:val="-6"/>
                <w:sz w:val="24"/>
                <w:szCs w:val="24"/>
                <w:highlight w:val="none"/>
                <w:vertAlign w:val="baseline"/>
                <w:lang w:eastAsia="zh-CN"/>
              </w:rPr>
            </w:pPr>
            <w:r>
              <w:rPr>
                <w:rFonts w:hint="eastAsia" w:ascii="宋体" w:hAnsi="宋体" w:eastAsia="宋体" w:cs="宋体"/>
                <w:b/>
                <w:bCs/>
                <w:color w:val="000000"/>
                <w:sz w:val="24"/>
                <w:szCs w:val="24"/>
                <w:highlight w:val="none"/>
                <w:shd w:val="clear" w:color="auto" w:fill="auto"/>
                <w:lang w:val="en-US" w:eastAsia="zh-CN"/>
              </w:rPr>
              <w:t>单价</w:t>
            </w:r>
            <w:r>
              <w:rPr>
                <w:rFonts w:hint="eastAsia" w:ascii="宋体" w:hAnsi="宋体" w:eastAsia="宋体" w:cs="宋体"/>
                <w:b/>
                <w:bCs/>
                <w:color w:val="000000"/>
                <w:sz w:val="24"/>
                <w:szCs w:val="24"/>
                <w:highlight w:val="none"/>
                <w:shd w:val="clear" w:color="auto" w:fill="auto"/>
                <w:lang w:val="en-US" w:eastAsia="zh-Hans"/>
              </w:rPr>
              <w:t>最高限价</w:t>
            </w:r>
            <w:r>
              <w:rPr>
                <w:rFonts w:hint="eastAsia" w:ascii="宋体" w:hAnsi="宋体" w:eastAsia="宋体" w:cs="宋体"/>
                <w:b/>
                <w:bCs/>
                <w:color w:val="000000"/>
                <w:sz w:val="24"/>
                <w:szCs w:val="24"/>
                <w:highlight w:val="none"/>
                <w:shd w:val="clear" w:color="auto" w:fill="auto"/>
                <w:lang w:val="en-US" w:eastAsia="zh-CN"/>
              </w:rPr>
              <w:t>（元）</w:t>
            </w:r>
          </w:p>
        </w:tc>
        <w:tc>
          <w:tcPr>
            <w:tcW w:w="1238" w:type="dxa"/>
            <w:noWrap w:val="0"/>
            <w:vAlign w:val="center"/>
          </w:tcPr>
          <w:p w14:paraId="5AC19E90">
            <w:pPr>
              <w:tabs>
                <w:tab w:val="left" w:pos="1546"/>
              </w:tabs>
              <w:autoSpaceDE w:val="0"/>
              <w:autoSpaceDN w:val="0"/>
              <w:adjustRightInd w:val="0"/>
              <w:spacing w:line="440" w:lineRule="exact"/>
              <w:jc w:val="center"/>
              <w:rPr>
                <w:rFonts w:hint="eastAsia" w:ascii="宋体" w:hAnsi="宋体" w:eastAsia="宋体" w:cs="宋体"/>
                <w:b/>
                <w:bCs/>
                <w:color w:val="000000"/>
                <w:sz w:val="24"/>
                <w:szCs w:val="24"/>
                <w:highlight w:val="none"/>
                <w:shd w:val="clear" w:color="auto" w:fill="auto"/>
                <w:lang w:val="en-US" w:eastAsia="zh-CN"/>
              </w:rPr>
            </w:pPr>
            <w:r>
              <w:rPr>
                <w:rFonts w:hint="eastAsia" w:ascii="宋体" w:hAnsi="宋体" w:eastAsia="宋体" w:cs="宋体"/>
                <w:b/>
                <w:bCs/>
                <w:color w:val="000000"/>
                <w:sz w:val="24"/>
                <w:szCs w:val="24"/>
                <w:highlight w:val="none"/>
                <w:shd w:val="clear" w:color="auto" w:fill="auto"/>
                <w:lang w:val="en-US" w:eastAsia="zh-CN"/>
              </w:rPr>
              <w:t>数量</w:t>
            </w:r>
          </w:p>
        </w:tc>
        <w:tc>
          <w:tcPr>
            <w:tcW w:w="1075" w:type="dxa"/>
            <w:noWrap w:val="0"/>
            <w:vAlign w:val="center"/>
          </w:tcPr>
          <w:p w14:paraId="71DF2EFE">
            <w:pPr>
              <w:tabs>
                <w:tab w:val="left" w:pos="1546"/>
              </w:tabs>
              <w:autoSpaceDE w:val="0"/>
              <w:autoSpaceDN w:val="0"/>
              <w:adjustRightInd w:val="0"/>
              <w:spacing w:line="440" w:lineRule="exact"/>
              <w:jc w:val="center"/>
              <w:rPr>
                <w:rFonts w:hint="eastAsia" w:ascii="宋体" w:hAnsi="宋体" w:eastAsia="宋体" w:cs="宋体"/>
                <w:b/>
                <w:bCs/>
                <w:color w:val="000000"/>
                <w:sz w:val="24"/>
                <w:szCs w:val="24"/>
                <w:highlight w:val="none"/>
                <w:shd w:val="clear" w:color="auto" w:fill="auto"/>
                <w:lang w:val="en-US" w:eastAsia="zh-CN"/>
              </w:rPr>
            </w:pPr>
            <w:r>
              <w:rPr>
                <w:rFonts w:hint="eastAsia" w:ascii="宋体" w:hAnsi="宋体" w:eastAsia="宋体" w:cs="宋体"/>
                <w:b/>
                <w:bCs/>
                <w:color w:val="000000"/>
                <w:sz w:val="24"/>
                <w:szCs w:val="24"/>
                <w:highlight w:val="none"/>
                <w:shd w:val="clear" w:color="auto" w:fill="auto"/>
                <w:lang w:val="en-US" w:eastAsia="zh-CN"/>
              </w:rPr>
              <w:t>单位</w:t>
            </w:r>
          </w:p>
        </w:tc>
        <w:tc>
          <w:tcPr>
            <w:tcW w:w="1361" w:type="dxa"/>
            <w:noWrap w:val="0"/>
            <w:vAlign w:val="center"/>
          </w:tcPr>
          <w:p w14:paraId="13C0A0DC">
            <w:pPr>
              <w:tabs>
                <w:tab w:val="left" w:pos="1546"/>
              </w:tabs>
              <w:autoSpaceDE w:val="0"/>
              <w:autoSpaceDN w:val="0"/>
              <w:adjustRightInd w:val="0"/>
              <w:spacing w:line="440" w:lineRule="exact"/>
              <w:jc w:val="center"/>
              <w:rPr>
                <w:rFonts w:hint="eastAsia" w:ascii="宋体" w:hAnsi="宋体" w:eastAsia="宋体" w:cs="宋体"/>
                <w:b/>
                <w:bCs/>
                <w:color w:val="000000"/>
                <w:sz w:val="24"/>
                <w:szCs w:val="24"/>
                <w:highlight w:val="none"/>
                <w:shd w:val="clear" w:color="auto" w:fill="auto"/>
                <w:lang w:val="en-US" w:eastAsia="zh-CN"/>
              </w:rPr>
            </w:pPr>
            <w:r>
              <w:rPr>
                <w:rFonts w:hint="eastAsia" w:hAnsi="宋体" w:cs="宋体"/>
                <w:b/>
                <w:bCs/>
                <w:color w:val="000000"/>
                <w:sz w:val="24"/>
                <w:szCs w:val="24"/>
                <w:highlight w:val="none"/>
                <w:lang w:bidi="ar"/>
              </w:rPr>
              <w:t>最高限价（元）</w:t>
            </w:r>
          </w:p>
        </w:tc>
      </w:tr>
      <w:tr w14:paraId="15A9A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trPr>
        <w:tc>
          <w:tcPr>
            <w:tcW w:w="1012" w:type="dxa"/>
            <w:shd w:val="clear" w:color="auto" w:fill="auto"/>
            <w:noWrap w:val="0"/>
            <w:vAlign w:val="center"/>
          </w:tcPr>
          <w:p w14:paraId="2D30F0DC">
            <w:pPr>
              <w:tabs>
                <w:tab w:val="left" w:pos="1546"/>
              </w:tabs>
              <w:autoSpaceDE w:val="0"/>
              <w:autoSpaceDN w:val="0"/>
              <w:adjustRightInd w:val="0"/>
              <w:spacing w:line="440" w:lineRule="exact"/>
              <w:jc w:val="center"/>
              <w:rPr>
                <w:rFonts w:hint="default" w:ascii="宋体" w:hAnsi="宋体" w:eastAsia="宋体" w:cs="宋体"/>
                <w:b w:val="0"/>
                <w:bCs/>
                <w:color w:val="auto"/>
                <w:spacing w:val="-6"/>
                <w:sz w:val="24"/>
                <w:szCs w:val="24"/>
                <w:highlight w:val="none"/>
                <w:vertAlign w:val="baseline"/>
                <w:lang w:val="en-US" w:eastAsia="zh-CN"/>
              </w:rPr>
            </w:pPr>
            <w:r>
              <w:rPr>
                <w:rFonts w:hint="eastAsia" w:ascii="宋体" w:hAnsi="宋体" w:eastAsia="宋体" w:cs="宋体"/>
                <w:b w:val="0"/>
                <w:bCs/>
                <w:color w:val="auto"/>
                <w:spacing w:val="-6"/>
                <w:sz w:val="24"/>
                <w:szCs w:val="24"/>
                <w:highlight w:val="none"/>
                <w:vertAlign w:val="baseline"/>
                <w:lang w:val="en-US" w:eastAsia="zh-CN"/>
              </w:rPr>
              <w:t>1</w:t>
            </w:r>
          </w:p>
        </w:tc>
        <w:tc>
          <w:tcPr>
            <w:tcW w:w="3125" w:type="dxa"/>
            <w:shd w:val="clear" w:color="auto" w:fill="auto"/>
            <w:noWrap w:val="0"/>
            <w:vAlign w:val="center"/>
          </w:tcPr>
          <w:p w14:paraId="35EF0CDB">
            <w:pPr>
              <w:tabs>
                <w:tab w:val="left" w:pos="1546"/>
              </w:tabs>
              <w:autoSpaceDE w:val="0"/>
              <w:autoSpaceDN w:val="0"/>
              <w:adjustRightInd w:val="0"/>
              <w:spacing w:line="440" w:lineRule="exact"/>
              <w:jc w:val="center"/>
              <w:rPr>
                <w:rFonts w:hint="eastAsia" w:ascii="宋体" w:hAnsi="宋体" w:eastAsia="宋体" w:cs="宋体"/>
                <w:b w:val="0"/>
                <w:bCs/>
                <w:color w:val="000000"/>
                <w:sz w:val="24"/>
                <w:szCs w:val="24"/>
                <w:highlight w:val="none"/>
                <w:shd w:val="clear" w:color="auto" w:fill="auto"/>
                <w:lang w:val="en-US" w:eastAsia="zh-CN"/>
              </w:rPr>
            </w:pPr>
            <w:r>
              <w:rPr>
                <w:rFonts w:hint="eastAsia" w:ascii="宋体" w:hAnsi="宋体" w:eastAsia="宋体" w:cs="宋体"/>
                <w:b w:val="0"/>
                <w:bCs/>
                <w:color w:val="000000"/>
                <w:sz w:val="24"/>
                <w:szCs w:val="24"/>
                <w:highlight w:val="none"/>
                <w:shd w:val="clear" w:color="auto" w:fill="auto"/>
                <w:lang w:val="en-US" w:eastAsia="zh-CN"/>
              </w:rPr>
              <w:t>射线装置场所建设项目职业病危害放射防护预评价</w:t>
            </w:r>
          </w:p>
        </w:tc>
        <w:tc>
          <w:tcPr>
            <w:tcW w:w="2025" w:type="dxa"/>
            <w:shd w:val="clear" w:color="auto" w:fill="auto"/>
            <w:noWrap w:val="0"/>
            <w:vAlign w:val="center"/>
          </w:tcPr>
          <w:p w14:paraId="63102A31">
            <w:pPr>
              <w:tabs>
                <w:tab w:val="left" w:pos="1546"/>
              </w:tabs>
              <w:autoSpaceDE w:val="0"/>
              <w:autoSpaceDN w:val="0"/>
              <w:adjustRightInd w:val="0"/>
              <w:spacing w:line="440" w:lineRule="exact"/>
              <w:jc w:val="center"/>
              <w:rPr>
                <w:rFonts w:hint="default" w:ascii="宋体" w:hAnsi="宋体" w:eastAsia="宋体" w:cs="宋体"/>
                <w:b w:val="0"/>
                <w:bCs/>
                <w:color w:val="000000"/>
                <w:sz w:val="24"/>
                <w:szCs w:val="24"/>
                <w:highlight w:val="none"/>
                <w:shd w:val="clear" w:color="auto" w:fill="auto"/>
                <w:lang w:val="en-US" w:eastAsia="zh-CN"/>
              </w:rPr>
            </w:pPr>
            <w:r>
              <w:rPr>
                <w:rFonts w:hint="eastAsia" w:ascii="宋体" w:hAnsi="宋体" w:eastAsia="宋体" w:cs="宋体"/>
                <w:b w:val="0"/>
                <w:bCs/>
                <w:color w:val="000000"/>
                <w:sz w:val="24"/>
                <w:szCs w:val="24"/>
                <w:highlight w:val="none"/>
                <w:shd w:val="clear" w:color="auto" w:fill="auto"/>
                <w:lang w:val="en-US" w:eastAsia="zh-CN"/>
              </w:rPr>
              <w:t>4500</w:t>
            </w:r>
          </w:p>
        </w:tc>
        <w:tc>
          <w:tcPr>
            <w:tcW w:w="1238" w:type="dxa"/>
            <w:shd w:val="clear" w:color="auto" w:fill="auto"/>
            <w:noWrap w:val="0"/>
            <w:vAlign w:val="center"/>
          </w:tcPr>
          <w:p w14:paraId="304231CA">
            <w:pPr>
              <w:tabs>
                <w:tab w:val="left" w:pos="1546"/>
              </w:tabs>
              <w:autoSpaceDE w:val="0"/>
              <w:autoSpaceDN w:val="0"/>
              <w:adjustRightInd w:val="0"/>
              <w:spacing w:line="440" w:lineRule="exact"/>
              <w:jc w:val="center"/>
              <w:rPr>
                <w:rFonts w:hint="eastAsia" w:ascii="宋体" w:hAnsi="宋体" w:eastAsia="宋体" w:cs="宋体"/>
                <w:b w:val="0"/>
                <w:bCs/>
                <w:color w:val="000000"/>
                <w:sz w:val="24"/>
                <w:szCs w:val="24"/>
                <w:highlight w:val="none"/>
                <w:shd w:val="clear" w:color="auto" w:fill="auto"/>
                <w:lang w:val="en-US" w:eastAsia="zh-CN"/>
              </w:rPr>
            </w:pPr>
            <w:r>
              <w:rPr>
                <w:rFonts w:hint="eastAsia" w:ascii="宋体" w:hAnsi="宋体" w:eastAsia="宋体" w:cs="宋体"/>
                <w:b w:val="0"/>
                <w:bCs/>
                <w:color w:val="000000"/>
                <w:sz w:val="24"/>
                <w:szCs w:val="24"/>
                <w:highlight w:val="none"/>
                <w:shd w:val="clear" w:color="auto" w:fill="auto"/>
                <w:lang w:val="en-US" w:eastAsia="zh-CN"/>
              </w:rPr>
              <w:t>5</w:t>
            </w:r>
          </w:p>
        </w:tc>
        <w:tc>
          <w:tcPr>
            <w:tcW w:w="1075" w:type="dxa"/>
            <w:shd w:val="clear" w:color="auto" w:fill="auto"/>
            <w:noWrap w:val="0"/>
            <w:vAlign w:val="center"/>
          </w:tcPr>
          <w:p w14:paraId="5F36FB4F">
            <w:pPr>
              <w:tabs>
                <w:tab w:val="left" w:pos="1546"/>
              </w:tabs>
              <w:autoSpaceDE w:val="0"/>
              <w:autoSpaceDN w:val="0"/>
              <w:adjustRightInd w:val="0"/>
              <w:spacing w:line="440" w:lineRule="exact"/>
              <w:jc w:val="center"/>
              <w:rPr>
                <w:rFonts w:hint="eastAsia" w:ascii="宋体" w:hAnsi="宋体" w:eastAsia="宋体" w:cs="宋体"/>
                <w:b w:val="0"/>
                <w:bCs/>
                <w:color w:val="000000"/>
                <w:sz w:val="24"/>
                <w:szCs w:val="24"/>
                <w:highlight w:val="none"/>
                <w:shd w:val="clear" w:color="auto" w:fill="auto"/>
                <w:lang w:val="en-US" w:eastAsia="zh-CN"/>
              </w:rPr>
            </w:pPr>
            <w:r>
              <w:rPr>
                <w:rFonts w:hint="eastAsia" w:ascii="宋体" w:hAnsi="宋体" w:eastAsia="宋体" w:cs="宋体"/>
                <w:b w:val="0"/>
                <w:bCs/>
                <w:color w:val="000000"/>
                <w:sz w:val="24"/>
                <w:szCs w:val="24"/>
                <w:highlight w:val="none"/>
                <w:shd w:val="clear" w:color="auto" w:fill="auto"/>
                <w:lang w:val="en-US" w:eastAsia="zh-CN"/>
              </w:rPr>
              <w:t>项</w:t>
            </w:r>
          </w:p>
        </w:tc>
        <w:tc>
          <w:tcPr>
            <w:tcW w:w="1361" w:type="dxa"/>
            <w:shd w:val="clear" w:color="auto" w:fill="FFFFFF"/>
            <w:noWrap w:val="0"/>
            <w:vAlign w:val="center"/>
          </w:tcPr>
          <w:p w14:paraId="00DA64C2">
            <w:pPr>
              <w:tabs>
                <w:tab w:val="left" w:pos="1546"/>
              </w:tabs>
              <w:autoSpaceDE w:val="0"/>
              <w:autoSpaceDN w:val="0"/>
              <w:adjustRightInd w:val="0"/>
              <w:spacing w:line="440" w:lineRule="exact"/>
              <w:jc w:val="center"/>
              <w:rPr>
                <w:rFonts w:hint="eastAsia" w:ascii="宋体" w:hAnsi="宋体" w:eastAsia="宋体" w:cs="宋体"/>
                <w:b w:val="0"/>
                <w:bCs/>
                <w:color w:val="000000"/>
                <w:sz w:val="24"/>
                <w:szCs w:val="24"/>
                <w:highlight w:val="none"/>
                <w:shd w:val="clear" w:color="auto" w:fill="auto"/>
                <w:lang w:val="en-US" w:eastAsia="zh-CN"/>
              </w:rPr>
            </w:pPr>
            <w:r>
              <w:rPr>
                <w:rFonts w:hint="eastAsia" w:ascii="宋体" w:hAnsi="宋体" w:eastAsia="宋体" w:cs="宋体"/>
                <w:b w:val="0"/>
                <w:bCs/>
                <w:color w:val="000000"/>
                <w:sz w:val="24"/>
                <w:szCs w:val="24"/>
                <w:highlight w:val="none"/>
                <w:shd w:val="clear" w:color="auto" w:fill="auto"/>
                <w:lang w:val="en-US" w:eastAsia="zh-CN"/>
              </w:rPr>
              <w:t>22500</w:t>
            </w:r>
          </w:p>
        </w:tc>
      </w:tr>
      <w:tr w14:paraId="3B292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trPr>
        <w:tc>
          <w:tcPr>
            <w:tcW w:w="1012" w:type="dxa"/>
            <w:shd w:val="clear" w:color="auto" w:fill="auto"/>
            <w:noWrap w:val="0"/>
            <w:vAlign w:val="center"/>
          </w:tcPr>
          <w:p w14:paraId="321AA8E8">
            <w:pPr>
              <w:tabs>
                <w:tab w:val="left" w:pos="1546"/>
              </w:tabs>
              <w:autoSpaceDE w:val="0"/>
              <w:autoSpaceDN w:val="0"/>
              <w:adjustRightInd w:val="0"/>
              <w:spacing w:line="440" w:lineRule="exact"/>
              <w:jc w:val="center"/>
              <w:rPr>
                <w:rFonts w:hint="default" w:ascii="宋体" w:hAnsi="宋体" w:eastAsia="宋体" w:cs="宋体"/>
                <w:b w:val="0"/>
                <w:bCs/>
                <w:color w:val="auto"/>
                <w:spacing w:val="-6"/>
                <w:sz w:val="24"/>
                <w:szCs w:val="24"/>
                <w:highlight w:val="none"/>
                <w:vertAlign w:val="baseline"/>
                <w:lang w:val="en-US" w:eastAsia="zh-CN"/>
              </w:rPr>
            </w:pPr>
            <w:r>
              <w:rPr>
                <w:rFonts w:hint="eastAsia" w:ascii="宋体" w:hAnsi="宋体" w:eastAsia="宋体" w:cs="宋体"/>
                <w:b w:val="0"/>
                <w:bCs/>
                <w:color w:val="auto"/>
                <w:spacing w:val="-6"/>
                <w:sz w:val="24"/>
                <w:szCs w:val="24"/>
                <w:highlight w:val="none"/>
                <w:vertAlign w:val="baseline"/>
                <w:lang w:val="en-US" w:eastAsia="zh-CN"/>
              </w:rPr>
              <w:t>2</w:t>
            </w:r>
          </w:p>
        </w:tc>
        <w:tc>
          <w:tcPr>
            <w:tcW w:w="3125" w:type="dxa"/>
            <w:shd w:val="clear" w:color="auto" w:fill="FFFFFF"/>
            <w:noWrap w:val="0"/>
            <w:vAlign w:val="center"/>
          </w:tcPr>
          <w:p w14:paraId="3EC165DC">
            <w:pPr>
              <w:tabs>
                <w:tab w:val="left" w:pos="1546"/>
              </w:tabs>
              <w:autoSpaceDE w:val="0"/>
              <w:autoSpaceDN w:val="0"/>
              <w:adjustRightInd w:val="0"/>
              <w:spacing w:line="440" w:lineRule="exact"/>
              <w:jc w:val="center"/>
              <w:rPr>
                <w:rFonts w:hint="eastAsia" w:ascii="宋体" w:hAnsi="宋体" w:eastAsia="宋体" w:cs="宋体"/>
                <w:b w:val="0"/>
                <w:bCs/>
                <w:color w:val="000000"/>
                <w:sz w:val="24"/>
                <w:szCs w:val="24"/>
                <w:highlight w:val="none"/>
                <w:shd w:val="clear" w:color="auto" w:fill="auto"/>
                <w:lang w:val="en-US" w:eastAsia="zh-CN"/>
              </w:rPr>
            </w:pPr>
            <w:r>
              <w:rPr>
                <w:rFonts w:hint="eastAsia" w:ascii="宋体" w:hAnsi="宋体" w:eastAsia="宋体" w:cs="宋体"/>
                <w:b w:val="0"/>
                <w:bCs/>
                <w:color w:val="000000"/>
                <w:sz w:val="24"/>
                <w:szCs w:val="24"/>
                <w:highlight w:val="none"/>
                <w:shd w:val="clear" w:color="auto" w:fill="auto"/>
                <w:lang w:val="en-US" w:eastAsia="zh-CN"/>
              </w:rPr>
              <w:t>射线装置场所建设项目职业病危害放射防护控制效果评价</w:t>
            </w:r>
          </w:p>
        </w:tc>
        <w:tc>
          <w:tcPr>
            <w:tcW w:w="2025" w:type="dxa"/>
            <w:shd w:val="clear" w:color="auto" w:fill="FFFFFF"/>
            <w:noWrap w:val="0"/>
            <w:vAlign w:val="center"/>
          </w:tcPr>
          <w:p w14:paraId="35DF7901">
            <w:pPr>
              <w:tabs>
                <w:tab w:val="left" w:pos="1546"/>
              </w:tabs>
              <w:autoSpaceDE w:val="0"/>
              <w:autoSpaceDN w:val="0"/>
              <w:adjustRightInd w:val="0"/>
              <w:spacing w:line="440" w:lineRule="exact"/>
              <w:jc w:val="center"/>
              <w:rPr>
                <w:rFonts w:hint="eastAsia" w:ascii="宋体" w:hAnsi="宋体" w:eastAsia="宋体" w:cs="宋体"/>
                <w:b w:val="0"/>
                <w:bCs/>
                <w:color w:val="000000"/>
                <w:sz w:val="24"/>
                <w:szCs w:val="24"/>
                <w:highlight w:val="none"/>
                <w:shd w:val="clear" w:color="auto" w:fill="auto"/>
                <w:lang w:val="en-US" w:eastAsia="zh-CN"/>
              </w:rPr>
            </w:pPr>
            <w:r>
              <w:rPr>
                <w:rFonts w:hint="eastAsia" w:ascii="宋体" w:hAnsi="宋体" w:eastAsia="宋体" w:cs="宋体"/>
                <w:b w:val="0"/>
                <w:bCs/>
                <w:color w:val="000000"/>
                <w:sz w:val="24"/>
                <w:szCs w:val="24"/>
                <w:highlight w:val="none"/>
                <w:shd w:val="clear" w:color="auto" w:fill="auto"/>
                <w:lang w:val="en-US" w:eastAsia="zh-CN"/>
              </w:rPr>
              <w:t>5500</w:t>
            </w:r>
          </w:p>
        </w:tc>
        <w:tc>
          <w:tcPr>
            <w:tcW w:w="1238" w:type="dxa"/>
            <w:shd w:val="clear" w:color="auto" w:fill="FFFFFF"/>
            <w:noWrap w:val="0"/>
            <w:vAlign w:val="center"/>
          </w:tcPr>
          <w:p w14:paraId="74B1F0BD">
            <w:pPr>
              <w:tabs>
                <w:tab w:val="left" w:pos="1546"/>
              </w:tabs>
              <w:autoSpaceDE w:val="0"/>
              <w:autoSpaceDN w:val="0"/>
              <w:adjustRightInd w:val="0"/>
              <w:spacing w:line="440" w:lineRule="exact"/>
              <w:jc w:val="center"/>
              <w:rPr>
                <w:rFonts w:hint="eastAsia" w:ascii="宋体" w:hAnsi="宋体" w:eastAsia="宋体" w:cs="宋体"/>
                <w:b w:val="0"/>
                <w:bCs/>
                <w:color w:val="000000"/>
                <w:sz w:val="24"/>
                <w:szCs w:val="24"/>
                <w:highlight w:val="none"/>
                <w:shd w:val="clear" w:color="auto" w:fill="auto"/>
                <w:lang w:val="en-US" w:eastAsia="zh-Hans"/>
              </w:rPr>
            </w:pPr>
            <w:r>
              <w:rPr>
                <w:rFonts w:hint="eastAsia" w:ascii="宋体" w:hAnsi="宋体" w:eastAsia="宋体" w:cs="宋体"/>
                <w:b w:val="0"/>
                <w:bCs/>
                <w:color w:val="000000"/>
                <w:sz w:val="24"/>
                <w:szCs w:val="24"/>
                <w:highlight w:val="none"/>
                <w:shd w:val="clear" w:color="auto" w:fill="auto"/>
                <w:lang w:val="en-US" w:eastAsia="zh-CN"/>
              </w:rPr>
              <w:t>5</w:t>
            </w:r>
          </w:p>
        </w:tc>
        <w:tc>
          <w:tcPr>
            <w:tcW w:w="1075" w:type="dxa"/>
            <w:shd w:val="clear" w:color="auto" w:fill="auto"/>
            <w:noWrap w:val="0"/>
            <w:vAlign w:val="center"/>
          </w:tcPr>
          <w:p w14:paraId="43F2B164">
            <w:pPr>
              <w:tabs>
                <w:tab w:val="left" w:pos="1546"/>
              </w:tabs>
              <w:autoSpaceDE w:val="0"/>
              <w:autoSpaceDN w:val="0"/>
              <w:adjustRightInd w:val="0"/>
              <w:spacing w:line="440" w:lineRule="exact"/>
              <w:jc w:val="center"/>
              <w:rPr>
                <w:rFonts w:hint="eastAsia" w:ascii="宋体" w:hAnsi="宋体" w:eastAsia="宋体" w:cs="宋体"/>
                <w:b w:val="0"/>
                <w:bCs/>
                <w:color w:val="000000"/>
                <w:sz w:val="24"/>
                <w:szCs w:val="24"/>
                <w:highlight w:val="none"/>
                <w:shd w:val="clear" w:color="auto" w:fill="auto"/>
                <w:lang w:val="en-US" w:eastAsia="zh-Hans"/>
              </w:rPr>
            </w:pPr>
            <w:r>
              <w:rPr>
                <w:rFonts w:hint="eastAsia" w:ascii="宋体" w:hAnsi="宋体" w:eastAsia="宋体" w:cs="宋体"/>
                <w:b w:val="0"/>
                <w:bCs/>
                <w:color w:val="000000"/>
                <w:sz w:val="24"/>
                <w:szCs w:val="24"/>
                <w:highlight w:val="none"/>
                <w:shd w:val="clear" w:color="auto" w:fill="auto"/>
                <w:lang w:val="en-US" w:eastAsia="zh-CN"/>
              </w:rPr>
              <w:t>项</w:t>
            </w:r>
          </w:p>
        </w:tc>
        <w:tc>
          <w:tcPr>
            <w:tcW w:w="1361" w:type="dxa"/>
            <w:shd w:val="clear" w:color="auto" w:fill="FFFFFF"/>
            <w:noWrap w:val="0"/>
            <w:vAlign w:val="center"/>
          </w:tcPr>
          <w:p w14:paraId="601D4424">
            <w:pPr>
              <w:tabs>
                <w:tab w:val="left" w:pos="1546"/>
              </w:tabs>
              <w:autoSpaceDE w:val="0"/>
              <w:autoSpaceDN w:val="0"/>
              <w:adjustRightInd w:val="0"/>
              <w:spacing w:line="440" w:lineRule="exact"/>
              <w:jc w:val="center"/>
              <w:rPr>
                <w:rFonts w:hint="eastAsia" w:ascii="宋体" w:hAnsi="宋体" w:eastAsia="宋体" w:cs="宋体"/>
                <w:b w:val="0"/>
                <w:bCs/>
                <w:color w:val="000000"/>
                <w:sz w:val="24"/>
                <w:szCs w:val="24"/>
                <w:highlight w:val="none"/>
                <w:shd w:val="clear" w:color="auto" w:fill="auto"/>
                <w:lang w:val="en-US" w:eastAsia="zh-CN"/>
              </w:rPr>
            </w:pPr>
            <w:r>
              <w:rPr>
                <w:rFonts w:hint="eastAsia" w:ascii="宋体" w:hAnsi="宋体" w:eastAsia="宋体" w:cs="宋体"/>
                <w:b w:val="0"/>
                <w:bCs/>
                <w:color w:val="000000"/>
                <w:sz w:val="24"/>
                <w:szCs w:val="24"/>
                <w:highlight w:val="none"/>
                <w:shd w:val="clear" w:color="auto" w:fill="auto"/>
                <w:lang w:val="en-US" w:eastAsia="zh-CN"/>
              </w:rPr>
              <w:t>27500</w:t>
            </w:r>
          </w:p>
        </w:tc>
      </w:tr>
      <w:tr w14:paraId="70F30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trPr>
        <w:tc>
          <w:tcPr>
            <w:tcW w:w="1012" w:type="dxa"/>
            <w:shd w:val="clear" w:color="auto" w:fill="auto"/>
            <w:noWrap w:val="0"/>
            <w:vAlign w:val="center"/>
          </w:tcPr>
          <w:p w14:paraId="358302DF">
            <w:pPr>
              <w:tabs>
                <w:tab w:val="left" w:pos="1546"/>
              </w:tabs>
              <w:autoSpaceDE w:val="0"/>
              <w:autoSpaceDN w:val="0"/>
              <w:adjustRightInd w:val="0"/>
              <w:spacing w:line="440" w:lineRule="exact"/>
              <w:jc w:val="center"/>
              <w:rPr>
                <w:rFonts w:hint="default" w:ascii="宋体" w:hAnsi="宋体" w:eastAsia="宋体" w:cs="宋体"/>
                <w:b w:val="0"/>
                <w:bCs/>
                <w:color w:val="auto"/>
                <w:spacing w:val="-6"/>
                <w:sz w:val="24"/>
                <w:szCs w:val="24"/>
                <w:highlight w:val="none"/>
                <w:vertAlign w:val="baseline"/>
                <w:lang w:val="en-US" w:eastAsia="zh-CN"/>
              </w:rPr>
            </w:pPr>
            <w:r>
              <w:rPr>
                <w:rFonts w:hint="eastAsia" w:ascii="宋体" w:hAnsi="宋体" w:eastAsia="宋体" w:cs="宋体"/>
                <w:b w:val="0"/>
                <w:bCs/>
                <w:color w:val="auto"/>
                <w:spacing w:val="-6"/>
                <w:sz w:val="24"/>
                <w:szCs w:val="24"/>
                <w:highlight w:val="none"/>
                <w:vertAlign w:val="baseline"/>
                <w:lang w:val="en-US" w:eastAsia="zh-CN"/>
              </w:rPr>
              <w:t>3</w:t>
            </w:r>
          </w:p>
        </w:tc>
        <w:tc>
          <w:tcPr>
            <w:tcW w:w="3125" w:type="dxa"/>
            <w:shd w:val="clear" w:color="auto" w:fill="FFFFFF"/>
            <w:noWrap w:val="0"/>
            <w:vAlign w:val="center"/>
          </w:tcPr>
          <w:p w14:paraId="3703DD18">
            <w:pPr>
              <w:tabs>
                <w:tab w:val="left" w:pos="1546"/>
              </w:tabs>
              <w:autoSpaceDE w:val="0"/>
              <w:autoSpaceDN w:val="0"/>
              <w:adjustRightInd w:val="0"/>
              <w:spacing w:line="440" w:lineRule="exact"/>
              <w:jc w:val="center"/>
              <w:rPr>
                <w:rFonts w:hint="eastAsia" w:ascii="宋体" w:hAnsi="宋体" w:eastAsia="宋体" w:cs="宋体"/>
                <w:b w:val="0"/>
                <w:bCs/>
                <w:color w:val="000000"/>
                <w:sz w:val="24"/>
                <w:szCs w:val="24"/>
                <w:highlight w:val="none"/>
                <w:shd w:val="clear" w:color="auto" w:fill="auto"/>
                <w:lang w:val="en-US" w:eastAsia="zh-CN"/>
              </w:rPr>
            </w:pPr>
            <w:r>
              <w:rPr>
                <w:rFonts w:hint="eastAsia" w:ascii="宋体" w:hAnsi="宋体" w:eastAsia="宋体" w:cs="宋体"/>
                <w:b w:val="0"/>
                <w:bCs/>
                <w:color w:val="000000"/>
                <w:sz w:val="24"/>
                <w:szCs w:val="24"/>
                <w:highlight w:val="none"/>
                <w:shd w:val="clear" w:color="auto" w:fill="auto"/>
                <w:lang w:val="en-US" w:eastAsia="zh-CN"/>
              </w:rPr>
              <w:t>射线装置场所建设项目环境影响评价</w:t>
            </w:r>
          </w:p>
        </w:tc>
        <w:tc>
          <w:tcPr>
            <w:tcW w:w="2025" w:type="dxa"/>
            <w:shd w:val="clear" w:color="auto" w:fill="FFFFFF"/>
            <w:noWrap w:val="0"/>
            <w:vAlign w:val="center"/>
          </w:tcPr>
          <w:p w14:paraId="0C8AF1F7">
            <w:pPr>
              <w:tabs>
                <w:tab w:val="left" w:pos="1546"/>
              </w:tabs>
              <w:autoSpaceDE w:val="0"/>
              <w:autoSpaceDN w:val="0"/>
              <w:adjustRightInd w:val="0"/>
              <w:spacing w:line="440" w:lineRule="exact"/>
              <w:jc w:val="center"/>
              <w:rPr>
                <w:rFonts w:hint="eastAsia" w:ascii="宋体" w:hAnsi="宋体" w:eastAsia="宋体" w:cs="宋体"/>
                <w:b w:val="0"/>
                <w:bCs/>
                <w:color w:val="000000"/>
                <w:sz w:val="24"/>
                <w:szCs w:val="24"/>
                <w:highlight w:val="none"/>
                <w:shd w:val="clear" w:color="auto" w:fill="auto"/>
                <w:lang w:val="en-US" w:eastAsia="zh-CN"/>
              </w:rPr>
            </w:pPr>
            <w:r>
              <w:rPr>
                <w:rFonts w:hint="eastAsia" w:ascii="宋体" w:hAnsi="宋体" w:eastAsia="宋体" w:cs="宋体"/>
                <w:b w:val="0"/>
                <w:bCs/>
                <w:color w:val="000000"/>
                <w:sz w:val="24"/>
                <w:szCs w:val="24"/>
                <w:highlight w:val="none"/>
                <w:shd w:val="clear" w:color="auto" w:fill="auto"/>
                <w:lang w:val="en-US" w:eastAsia="zh-CN"/>
              </w:rPr>
              <w:t>29000</w:t>
            </w:r>
          </w:p>
        </w:tc>
        <w:tc>
          <w:tcPr>
            <w:tcW w:w="1238" w:type="dxa"/>
            <w:shd w:val="clear" w:color="auto" w:fill="FFFFFF"/>
            <w:noWrap w:val="0"/>
            <w:vAlign w:val="center"/>
          </w:tcPr>
          <w:p w14:paraId="18662612">
            <w:pPr>
              <w:tabs>
                <w:tab w:val="left" w:pos="1546"/>
              </w:tabs>
              <w:autoSpaceDE w:val="0"/>
              <w:autoSpaceDN w:val="0"/>
              <w:adjustRightInd w:val="0"/>
              <w:spacing w:line="440" w:lineRule="exact"/>
              <w:jc w:val="center"/>
              <w:rPr>
                <w:rFonts w:hint="eastAsia" w:ascii="宋体" w:hAnsi="宋体" w:eastAsia="宋体" w:cs="宋体"/>
                <w:b w:val="0"/>
                <w:bCs/>
                <w:color w:val="000000"/>
                <w:sz w:val="24"/>
                <w:szCs w:val="24"/>
                <w:highlight w:val="none"/>
                <w:shd w:val="clear" w:color="auto" w:fill="auto"/>
                <w:lang w:val="en-US" w:eastAsia="zh-Hans"/>
              </w:rPr>
            </w:pPr>
            <w:r>
              <w:rPr>
                <w:rFonts w:hint="eastAsia" w:ascii="宋体" w:hAnsi="宋体" w:eastAsia="宋体" w:cs="宋体"/>
                <w:b w:val="0"/>
                <w:bCs/>
                <w:color w:val="000000"/>
                <w:sz w:val="24"/>
                <w:szCs w:val="24"/>
                <w:highlight w:val="none"/>
                <w:shd w:val="clear" w:color="auto" w:fill="auto"/>
                <w:lang w:val="en-US" w:eastAsia="zh-CN"/>
              </w:rPr>
              <w:t>2</w:t>
            </w:r>
          </w:p>
        </w:tc>
        <w:tc>
          <w:tcPr>
            <w:tcW w:w="1075" w:type="dxa"/>
            <w:shd w:val="clear" w:color="auto" w:fill="auto"/>
            <w:noWrap w:val="0"/>
            <w:vAlign w:val="center"/>
          </w:tcPr>
          <w:p w14:paraId="78C345BC">
            <w:pPr>
              <w:tabs>
                <w:tab w:val="left" w:pos="1546"/>
              </w:tabs>
              <w:autoSpaceDE w:val="0"/>
              <w:autoSpaceDN w:val="0"/>
              <w:adjustRightInd w:val="0"/>
              <w:spacing w:line="440" w:lineRule="exact"/>
              <w:jc w:val="center"/>
              <w:rPr>
                <w:rFonts w:hint="eastAsia" w:ascii="宋体" w:hAnsi="宋体" w:eastAsia="宋体" w:cs="宋体"/>
                <w:b w:val="0"/>
                <w:bCs/>
                <w:color w:val="000000"/>
                <w:sz w:val="24"/>
                <w:szCs w:val="24"/>
                <w:highlight w:val="none"/>
                <w:shd w:val="clear" w:color="auto" w:fill="auto"/>
                <w:lang w:val="en-US" w:eastAsia="zh-Hans"/>
              </w:rPr>
            </w:pPr>
            <w:r>
              <w:rPr>
                <w:rFonts w:hint="eastAsia" w:ascii="宋体" w:hAnsi="宋体" w:eastAsia="宋体" w:cs="宋体"/>
                <w:b w:val="0"/>
                <w:bCs/>
                <w:color w:val="000000"/>
                <w:sz w:val="24"/>
                <w:szCs w:val="24"/>
                <w:highlight w:val="none"/>
                <w:shd w:val="clear" w:color="auto" w:fill="auto"/>
                <w:lang w:val="en-US" w:eastAsia="zh-CN"/>
              </w:rPr>
              <w:t>项</w:t>
            </w:r>
          </w:p>
        </w:tc>
        <w:tc>
          <w:tcPr>
            <w:tcW w:w="1361" w:type="dxa"/>
            <w:shd w:val="clear" w:color="auto" w:fill="FFFFFF"/>
            <w:noWrap w:val="0"/>
            <w:vAlign w:val="center"/>
          </w:tcPr>
          <w:p w14:paraId="4B9A6DCD">
            <w:pPr>
              <w:tabs>
                <w:tab w:val="left" w:pos="1546"/>
              </w:tabs>
              <w:autoSpaceDE w:val="0"/>
              <w:autoSpaceDN w:val="0"/>
              <w:adjustRightInd w:val="0"/>
              <w:spacing w:line="440" w:lineRule="exact"/>
              <w:jc w:val="center"/>
              <w:rPr>
                <w:rFonts w:hint="eastAsia" w:ascii="宋体" w:hAnsi="宋体" w:eastAsia="宋体" w:cs="宋体"/>
                <w:b w:val="0"/>
                <w:bCs/>
                <w:color w:val="000000"/>
                <w:sz w:val="24"/>
                <w:szCs w:val="24"/>
                <w:highlight w:val="none"/>
                <w:shd w:val="clear" w:color="auto" w:fill="auto"/>
                <w:lang w:val="en-US" w:eastAsia="zh-CN"/>
              </w:rPr>
            </w:pPr>
            <w:r>
              <w:rPr>
                <w:rFonts w:hint="eastAsia" w:ascii="宋体" w:hAnsi="宋体" w:eastAsia="宋体" w:cs="宋体"/>
                <w:b w:val="0"/>
                <w:bCs/>
                <w:color w:val="000000"/>
                <w:sz w:val="24"/>
                <w:szCs w:val="24"/>
                <w:highlight w:val="none"/>
                <w:shd w:val="clear" w:color="auto" w:fill="auto"/>
                <w:lang w:val="en-US" w:eastAsia="zh-CN"/>
              </w:rPr>
              <w:t>58000</w:t>
            </w:r>
          </w:p>
        </w:tc>
      </w:tr>
      <w:tr w14:paraId="25444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trPr>
        <w:tc>
          <w:tcPr>
            <w:tcW w:w="1012" w:type="dxa"/>
            <w:shd w:val="clear" w:color="auto" w:fill="auto"/>
            <w:noWrap w:val="0"/>
            <w:vAlign w:val="center"/>
          </w:tcPr>
          <w:p w14:paraId="7DF1A6E1">
            <w:pPr>
              <w:tabs>
                <w:tab w:val="left" w:pos="1546"/>
              </w:tabs>
              <w:autoSpaceDE w:val="0"/>
              <w:autoSpaceDN w:val="0"/>
              <w:adjustRightInd w:val="0"/>
              <w:spacing w:line="440" w:lineRule="exact"/>
              <w:jc w:val="center"/>
              <w:rPr>
                <w:rFonts w:hint="default" w:ascii="宋体" w:hAnsi="宋体" w:eastAsia="宋体" w:cs="宋体"/>
                <w:b w:val="0"/>
                <w:bCs/>
                <w:color w:val="auto"/>
                <w:spacing w:val="-6"/>
                <w:sz w:val="24"/>
                <w:szCs w:val="24"/>
                <w:highlight w:val="none"/>
                <w:vertAlign w:val="baseline"/>
                <w:lang w:val="en-US" w:eastAsia="zh-CN"/>
              </w:rPr>
            </w:pPr>
            <w:r>
              <w:rPr>
                <w:rFonts w:hint="eastAsia" w:ascii="宋体" w:hAnsi="宋体" w:eastAsia="宋体" w:cs="宋体"/>
                <w:b w:val="0"/>
                <w:bCs/>
                <w:color w:val="auto"/>
                <w:spacing w:val="-6"/>
                <w:sz w:val="24"/>
                <w:szCs w:val="24"/>
                <w:highlight w:val="none"/>
                <w:vertAlign w:val="baseline"/>
                <w:lang w:val="en-US" w:eastAsia="zh-CN"/>
              </w:rPr>
              <w:t>4</w:t>
            </w:r>
          </w:p>
        </w:tc>
        <w:tc>
          <w:tcPr>
            <w:tcW w:w="3125" w:type="dxa"/>
            <w:shd w:val="clear" w:color="auto" w:fill="FFFFFF"/>
            <w:noWrap w:val="0"/>
            <w:vAlign w:val="center"/>
          </w:tcPr>
          <w:p w14:paraId="0C7C9A09">
            <w:pPr>
              <w:tabs>
                <w:tab w:val="left" w:pos="1546"/>
              </w:tabs>
              <w:autoSpaceDE w:val="0"/>
              <w:autoSpaceDN w:val="0"/>
              <w:adjustRightInd w:val="0"/>
              <w:spacing w:line="440" w:lineRule="exact"/>
              <w:jc w:val="center"/>
              <w:rPr>
                <w:rFonts w:hint="eastAsia" w:ascii="宋体" w:hAnsi="宋体" w:eastAsia="宋体" w:cs="宋体"/>
                <w:b w:val="0"/>
                <w:bCs/>
                <w:color w:val="000000"/>
                <w:sz w:val="24"/>
                <w:szCs w:val="24"/>
                <w:highlight w:val="none"/>
                <w:shd w:val="clear" w:color="auto" w:fill="auto"/>
                <w:lang w:val="en-US" w:eastAsia="zh-CN"/>
              </w:rPr>
            </w:pPr>
            <w:r>
              <w:rPr>
                <w:rFonts w:hint="eastAsia" w:ascii="宋体" w:hAnsi="宋体" w:eastAsia="宋体" w:cs="宋体"/>
                <w:b w:val="0"/>
                <w:bCs/>
                <w:color w:val="000000"/>
                <w:sz w:val="24"/>
                <w:szCs w:val="24"/>
                <w:highlight w:val="none"/>
                <w:shd w:val="clear" w:color="auto" w:fill="auto"/>
                <w:lang w:val="en-US" w:eastAsia="zh-CN"/>
              </w:rPr>
              <w:t>射线装置场所建设项目竣工环境保护验收检测</w:t>
            </w:r>
          </w:p>
        </w:tc>
        <w:tc>
          <w:tcPr>
            <w:tcW w:w="2025" w:type="dxa"/>
            <w:shd w:val="clear" w:color="auto" w:fill="FFFFFF"/>
            <w:noWrap w:val="0"/>
            <w:vAlign w:val="center"/>
          </w:tcPr>
          <w:p w14:paraId="78073511">
            <w:pPr>
              <w:tabs>
                <w:tab w:val="left" w:pos="1546"/>
              </w:tabs>
              <w:autoSpaceDE w:val="0"/>
              <w:autoSpaceDN w:val="0"/>
              <w:adjustRightInd w:val="0"/>
              <w:spacing w:line="440" w:lineRule="exact"/>
              <w:jc w:val="center"/>
              <w:rPr>
                <w:rFonts w:hint="eastAsia" w:ascii="宋体" w:hAnsi="宋体" w:eastAsia="宋体" w:cs="宋体"/>
                <w:b w:val="0"/>
                <w:bCs/>
                <w:color w:val="000000"/>
                <w:sz w:val="24"/>
                <w:szCs w:val="24"/>
                <w:highlight w:val="none"/>
                <w:shd w:val="clear" w:color="auto" w:fill="auto"/>
                <w:lang w:val="en-US" w:eastAsia="zh-CN"/>
              </w:rPr>
            </w:pPr>
            <w:r>
              <w:rPr>
                <w:rFonts w:hint="eastAsia" w:ascii="宋体" w:hAnsi="宋体" w:eastAsia="宋体" w:cs="宋体"/>
                <w:b w:val="0"/>
                <w:bCs/>
                <w:color w:val="000000"/>
                <w:sz w:val="24"/>
                <w:szCs w:val="24"/>
                <w:highlight w:val="none"/>
                <w:shd w:val="clear" w:color="auto" w:fill="auto"/>
                <w:lang w:val="en-US" w:eastAsia="zh-CN"/>
              </w:rPr>
              <w:t>23000</w:t>
            </w:r>
          </w:p>
        </w:tc>
        <w:tc>
          <w:tcPr>
            <w:tcW w:w="1238" w:type="dxa"/>
            <w:shd w:val="clear" w:color="auto" w:fill="FFFFFF"/>
            <w:noWrap w:val="0"/>
            <w:vAlign w:val="center"/>
          </w:tcPr>
          <w:p w14:paraId="598F1A6B">
            <w:pPr>
              <w:tabs>
                <w:tab w:val="left" w:pos="1546"/>
              </w:tabs>
              <w:autoSpaceDE w:val="0"/>
              <w:autoSpaceDN w:val="0"/>
              <w:adjustRightInd w:val="0"/>
              <w:spacing w:line="440" w:lineRule="exact"/>
              <w:jc w:val="center"/>
              <w:rPr>
                <w:rFonts w:hint="eastAsia" w:ascii="宋体" w:hAnsi="宋体" w:eastAsia="宋体" w:cs="宋体"/>
                <w:b w:val="0"/>
                <w:bCs/>
                <w:color w:val="000000"/>
                <w:sz w:val="24"/>
                <w:szCs w:val="24"/>
                <w:highlight w:val="none"/>
                <w:shd w:val="clear" w:color="auto" w:fill="auto"/>
                <w:lang w:val="en-US" w:eastAsia="zh-Hans"/>
              </w:rPr>
            </w:pPr>
            <w:r>
              <w:rPr>
                <w:rFonts w:hint="eastAsia" w:ascii="宋体" w:hAnsi="宋体" w:eastAsia="宋体" w:cs="宋体"/>
                <w:b w:val="0"/>
                <w:bCs/>
                <w:color w:val="000000"/>
                <w:sz w:val="24"/>
                <w:szCs w:val="24"/>
                <w:highlight w:val="none"/>
                <w:shd w:val="clear" w:color="auto" w:fill="auto"/>
                <w:lang w:val="en-US" w:eastAsia="zh-CN"/>
              </w:rPr>
              <w:t>2</w:t>
            </w:r>
          </w:p>
        </w:tc>
        <w:tc>
          <w:tcPr>
            <w:tcW w:w="1075" w:type="dxa"/>
            <w:shd w:val="clear" w:color="auto" w:fill="auto"/>
            <w:noWrap w:val="0"/>
            <w:vAlign w:val="center"/>
          </w:tcPr>
          <w:p w14:paraId="2B85E9C5">
            <w:pPr>
              <w:tabs>
                <w:tab w:val="left" w:pos="1546"/>
              </w:tabs>
              <w:autoSpaceDE w:val="0"/>
              <w:autoSpaceDN w:val="0"/>
              <w:adjustRightInd w:val="0"/>
              <w:spacing w:line="440" w:lineRule="exact"/>
              <w:jc w:val="center"/>
              <w:rPr>
                <w:rFonts w:hint="eastAsia" w:ascii="宋体" w:hAnsi="宋体" w:eastAsia="宋体" w:cs="宋体"/>
                <w:b w:val="0"/>
                <w:bCs/>
                <w:color w:val="000000"/>
                <w:sz w:val="24"/>
                <w:szCs w:val="24"/>
                <w:highlight w:val="none"/>
                <w:shd w:val="clear" w:color="auto" w:fill="auto"/>
                <w:lang w:val="en-US" w:eastAsia="zh-Hans"/>
              </w:rPr>
            </w:pPr>
            <w:r>
              <w:rPr>
                <w:rFonts w:hint="eastAsia" w:ascii="宋体" w:hAnsi="宋体" w:eastAsia="宋体" w:cs="宋体"/>
                <w:b w:val="0"/>
                <w:bCs/>
                <w:color w:val="000000"/>
                <w:sz w:val="24"/>
                <w:szCs w:val="24"/>
                <w:highlight w:val="none"/>
                <w:shd w:val="clear" w:color="auto" w:fill="auto"/>
                <w:lang w:val="en-US" w:eastAsia="zh-CN"/>
              </w:rPr>
              <w:t>项</w:t>
            </w:r>
          </w:p>
        </w:tc>
        <w:tc>
          <w:tcPr>
            <w:tcW w:w="1361" w:type="dxa"/>
            <w:shd w:val="clear" w:color="auto" w:fill="FFFFFF"/>
            <w:noWrap w:val="0"/>
            <w:vAlign w:val="center"/>
          </w:tcPr>
          <w:p w14:paraId="58C92FE4">
            <w:pPr>
              <w:tabs>
                <w:tab w:val="left" w:pos="1546"/>
              </w:tabs>
              <w:autoSpaceDE w:val="0"/>
              <w:autoSpaceDN w:val="0"/>
              <w:adjustRightInd w:val="0"/>
              <w:spacing w:line="440" w:lineRule="exact"/>
              <w:jc w:val="center"/>
              <w:rPr>
                <w:rFonts w:hint="eastAsia" w:ascii="宋体" w:hAnsi="宋体" w:eastAsia="宋体" w:cs="宋体"/>
                <w:b w:val="0"/>
                <w:bCs/>
                <w:color w:val="000000"/>
                <w:sz w:val="24"/>
                <w:szCs w:val="24"/>
                <w:highlight w:val="none"/>
                <w:shd w:val="clear" w:color="auto" w:fill="auto"/>
                <w:lang w:val="en-US" w:eastAsia="zh-CN"/>
              </w:rPr>
            </w:pPr>
            <w:r>
              <w:rPr>
                <w:rFonts w:hint="eastAsia" w:ascii="宋体" w:hAnsi="宋体" w:eastAsia="宋体" w:cs="宋体"/>
                <w:b w:val="0"/>
                <w:bCs/>
                <w:color w:val="000000"/>
                <w:sz w:val="24"/>
                <w:szCs w:val="24"/>
                <w:highlight w:val="none"/>
                <w:shd w:val="clear" w:color="auto" w:fill="auto"/>
                <w:lang w:val="en-US" w:eastAsia="zh-CN"/>
              </w:rPr>
              <w:t>46000</w:t>
            </w:r>
          </w:p>
        </w:tc>
      </w:tr>
    </w:tbl>
    <w:p w14:paraId="6904BBD4">
      <w:pPr>
        <w:tabs>
          <w:tab w:val="left" w:pos="1546"/>
        </w:tabs>
        <w:autoSpaceDE w:val="0"/>
        <w:autoSpaceDN w:val="0"/>
        <w:adjustRightInd w:val="0"/>
        <w:spacing w:line="240" w:lineRule="auto"/>
        <w:jc w:val="left"/>
        <w:rPr>
          <w:rFonts w:hint="eastAsia" w:hAnsi="宋体" w:cs="宋体"/>
          <w:b/>
          <w:color w:val="auto"/>
          <w:spacing w:val="-6"/>
          <w:sz w:val="24"/>
          <w:highlight w:val="none"/>
        </w:rPr>
      </w:pPr>
    </w:p>
    <w:p w14:paraId="6CD463B9">
      <w:pPr>
        <w:tabs>
          <w:tab w:val="left" w:pos="1546"/>
        </w:tabs>
        <w:autoSpaceDE w:val="0"/>
        <w:autoSpaceDN w:val="0"/>
        <w:adjustRightInd w:val="0"/>
        <w:spacing w:line="440" w:lineRule="exact"/>
        <w:ind w:firstLine="458" w:firstLineChars="200"/>
        <w:jc w:val="left"/>
        <w:rPr>
          <w:rFonts w:hAnsi="宋体" w:cs="宋体"/>
          <w:b/>
          <w:color w:val="FF0000"/>
          <w:spacing w:val="-6"/>
          <w:sz w:val="24"/>
          <w:highlight w:val="none"/>
        </w:rPr>
      </w:pPr>
      <w:r>
        <w:rPr>
          <w:rFonts w:hint="eastAsia" w:hAnsi="宋体" w:cs="宋体"/>
          <w:b/>
          <w:color w:val="auto"/>
          <w:spacing w:val="-6"/>
          <w:sz w:val="24"/>
          <w:highlight w:val="none"/>
        </w:rPr>
        <w:t>注：本清单数量均为</w:t>
      </w:r>
      <w:r>
        <w:rPr>
          <w:rFonts w:hint="eastAsia" w:hAnsi="宋体" w:cs="宋体"/>
          <w:b/>
          <w:bCs/>
          <w:color w:val="auto"/>
          <w:sz w:val="24"/>
          <w:szCs w:val="24"/>
          <w:highlight w:val="none"/>
          <w:lang w:bidi="ar"/>
        </w:rPr>
        <w:t>预计数量</w:t>
      </w:r>
      <w:r>
        <w:rPr>
          <w:rFonts w:hint="eastAsia" w:hAnsi="宋体" w:cs="宋体"/>
          <w:b/>
          <w:color w:val="auto"/>
          <w:spacing w:val="-6"/>
          <w:sz w:val="24"/>
          <w:highlight w:val="none"/>
        </w:rPr>
        <w:t>，实际数量根据实际</w:t>
      </w:r>
      <w:r>
        <w:rPr>
          <w:rFonts w:hint="eastAsia" w:hAnsi="宋体" w:cs="宋体"/>
          <w:b/>
          <w:color w:val="auto"/>
          <w:spacing w:val="-6"/>
          <w:sz w:val="24"/>
          <w:highlight w:val="none"/>
          <w:lang w:val="en-US" w:eastAsia="zh-CN"/>
        </w:rPr>
        <w:t>服务</w:t>
      </w:r>
      <w:r>
        <w:rPr>
          <w:rFonts w:hint="eastAsia" w:hAnsi="宋体" w:cs="宋体"/>
          <w:b/>
          <w:color w:val="auto"/>
          <w:spacing w:val="-6"/>
          <w:sz w:val="24"/>
          <w:highlight w:val="none"/>
        </w:rPr>
        <w:t>量据实结算。</w:t>
      </w:r>
    </w:p>
    <w:p w14:paraId="3B88C336">
      <w:pPr>
        <w:tabs>
          <w:tab w:val="left" w:pos="1546"/>
        </w:tabs>
        <w:autoSpaceDE w:val="0"/>
        <w:autoSpaceDN w:val="0"/>
        <w:adjustRightInd w:val="0"/>
        <w:spacing w:line="440" w:lineRule="exact"/>
        <w:ind w:firstLine="458" w:firstLineChars="200"/>
        <w:jc w:val="left"/>
        <w:rPr>
          <w:rFonts w:hint="eastAsia" w:hAnsi="宋体" w:cs="宋体"/>
          <w:b/>
          <w:spacing w:val="-6"/>
          <w:sz w:val="24"/>
          <w:highlight w:val="none"/>
        </w:rPr>
      </w:pPr>
      <w:r>
        <w:rPr>
          <w:rFonts w:hint="eastAsia" w:hAnsi="宋体" w:cs="宋体"/>
          <w:b/>
          <w:spacing w:val="-6"/>
          <w:sz w:val="24"/>
          <w:highlight w:val="none"/>
        </w:rPr>
        <w:t>★三、</w:t>
      </w:r>
      <w:r>
        <w:rPr>
          <w:rFonts w:hint="eastAsia" w:hAnsi="宋体" w:cs="宋体"/>
          <w:b/>
          <w:spacing w:val="-6"/>
          <w:sz w:val="24"/>
          <w:highlight w:val="none"/>
          <w:lang w:val="en-US" w:eastAsia="zh-CN"/>
        </w:rPr>
        <w:t>服务</w:t>
      </w:r>
      <w:r>
        <w:rPr>
          <w:rFonts w:hint="eastAsia" w:hAnsi="宋体" w:cs="宋体"/>
          <w:b/>
          <w:spacing w:val="-6"/>
          <w:sz w:val="24"/>
          <w:highlight w:val="none"/>
        </w:rPr>
        <w:t>要求</w:t>
      </w:r>
    </w:p>
    <w:p w14:paraId="7634E594">
      <w:pPr>
        <w:tabs>
          <w:tab w:val="left" w:pos="1546"/>
        </w:tabs>
        <w:autoSpaceDE w:val="0"/>
        <w:autoSpaceDN w:val="0"/>
        <w:adjustRightInd w:val="0"/>
        <w:spacing w:line="440" w:lineRule="exact"/>
        <w:ind w:firstLine="480" w:firstLineChars="200"/>
        <w:jc w:val="left"/>
        <w:rPr>
          <w:rFonts w:hint="eastAsia" w:ascii="宋体" w:hAnsi="宋体" w:eastAsia="宋体" w:cs="宋体"/>
          <w:sz w:val="24"/>
          <w:highlight w:val="none"/>
          <w:lang w:val="en-US" w:eastAsia="zh-CN"/>
        </w:rPr>
      </w:pPr>
      <w:r>
        <w:rPr>
          <w:rFonts w:hint="eastAsia" w:ascii="宋体" w:hAnsi="宋体" w:eastAsia="宋体" w:cs="宋体"/>
          <w:sz w:val="24"/>
          <w:highlight w:val="none"/>
          <w:lang w:val="en-US" w:eastAsia="zh-CN"/>
        </w:rPr>
        <w:t>1.根据需求提供预评价和控制效果评价服务。按照我国《建设项目职业病危害放射防护评价报告编制规范》（GBZ/T181-2006）对射线装置场所建设项目进行职业病危害放射防护预评价、控制效果评价，编制符合行政部门审查规范的职业病危害预评价报告和控制效果评价报告,并根据国家要求组织专家进行技术审查和协助办理放射诊疗许可证。</w:t>
      </w:r>
    </w:p>
    <w:p w14:paraId="104B672F">
      <w:pPr>
        <w:tabs>
          <w:tab w:val="left" w:pos="1546"/>
        </w:tabs>
        <w:autoSpaceDE w:val="0"/>
        <w:autoSpaceDN w:val="0"/>
        <w:adjustRightInd w:val="0"/>
        <w:spacing w:line="440" w:lineRule="exact"/>
        <w:ind w:firstLine="480" w:firstLineChars="200"/>
        <w:jc w:val="left"/>
        <w:rPr>
          <w:rFonts w:hint="eastAsia" w:ascii="宋体" w:hAnsi="宋体" w:eastAsia="宋体" w:cs="宋体"/>
          <w:sz w:val="24"/>
          <w:highlight w:val="none"/>
          <w:lang w:val="en-US" w:eastAsia="zh-CN"/>
        </w:rPr>
      </w:pPr>
      <w:r>
        <w:rPr>
          <w:rFonts w:hint="eastAsia" w:ascii="宋体" w:hAnsi="宋体" w:eastAsia="宋体" w:cs="宋体"/>
          <w:sz w:val="24"/>
          <w:highlight w:val="none"/>
          <w:lang w:val="en-US" w:eastAsia="zh-CN"/>
        </w:rPr>
        <w:t>2.根据需求提供射线装置场所建设项目开展环境影响评价和竣工环境保护验收监测服务。按国家法律、法规、规范和标准的要求，编制符合行政部门审查规范的环境影响评价报告和竣工环境保护验收监测报告，取得生态环境主管部门批复文件，协助办理辐射安全许可证。竣工环保验收通过现场验收和专家会议，获得四川省生态环境厅批准。</w:t>
      </w:r>
    </w:p>
    <w:p w14:paraId="32AE3036">
      <w:pPr>
        <w:tabs>
          <w:tab w:val="left" w:pos="1546"/>
        </w:tabs>
        <w:autoSpaceDE w:val="0"/>
        <w:autoSpaceDN w:val="0"/>
        <w:adjustRightInd w:val="0"/>
        <w:spacing w:line="440" w:lineRule="exact"/>
        <w:ind w:firstLine="480" w:firstLineChars="200"/>
        <w:jc w:val="left"/>
        <w:rPr>
          <w:rFonts w:hint="eastAsia" w:ascii="宋体" w:hAnsi="宋体" w:eastAsia="宋体" w:cs="宋体"/>
          <w:sz w:val="24"/>
          <w:highlight w:val="none"/>
          <w:lang w:val="en-US" w:eastAsia="zh-CN"/>
        </w:rPr>
      </w:pPr>
      <w:r>
        <w:rPr>
          <w:rFonts w:hint="eastAsia" w:ascii="宋体" w:hAnsi="宋体" w:eastAsia="宋体" w:cs="宋体"/>
          <w:sz w:val="24"/>
          <w:highlight w:val="none"/>
          <w:lang w:val="en-US" w:eastAsia="zh-CN"/>
        </w:rPr>
        <w:t>3.如主管部门提出需整改项，按主管部门要求配合采购方迅速完成整改。</w:t>
      </w:r>
    </w:p>
    <w:p w14:paraId="780C235D">
      <w:pPr>
        <w:tabs>
          <w:tab w:val="left" w:pos="1546"/>
        </w:tabs>
        <w:autoSpaceDE w:val="0"/>
        <w:autoSpaceDN w:val="0"/>
        <w:adjustRightInd w:val="0"/>
        <w:spacing w:line="440" w:lineRule="exact"/>
        <w:ind w:firstLine="480" w:firstLineChars="200"/>
        <w:jc w:val="left"/>
        <w:rPr>
          <w:rFonts w:hint="eastAsia" w:ascii="宋体" w:hAnsi="宋体" w:eastAsia="宋体" w:cs="宋体"/>
          <w:sz w:val="24"/>
          <w:highlight w:val="none"/>
          <w:lang w:val="en-US" w:eastAsia="zh-CN"/>
        </w:rPr>
      </w:pPr>
      <w:r>
        <w:rPr>
          <w:rFonts w:hint="eastAsia" w:ascii="宋体" w:hAnsi="宋体" w:eastAsia="宋体" w:cs="宋体"/>
          <w:sz w:val="24"/>
          <w:highlight w:val="none"/>
          <w:lang w:val="en-US" w:eastAsia="zh-CN"/>
        </w:rPr>
        <w:t>4.供应商应确保及时、完整、有效的完成服务项目，检测工作中碰到的所有技术问题均由供应商负责解决。</w:t>
      </w:r>
    </w:p>
    <w:p w14:paraId="1A67B428">
      <w:pPr>
        <w:tabs>
          <w:tab w:val="left" w:pos="1546"/>
        </w:tabs>
        <w:autoSpaceDE w:val="0"/>
        <w:autoSpaceDN w:val="0"/>
        <w:adjustRightInd w:val="0"/>
        <w:spacing w:line="440" w:lineRule="exact"/>
        <w:ind w:firstLine="480" w:firstLineChars="200"/>
        <w:jc w:val="left"/>
        <w:rPr>
          <w:rFonts w:hint="eastAsia" w:ascii="宋体" w:hAnsi="宋体" w:eastAsia="宋体" w:cs="宋体"/>
          <w:sz w:val="24"/>
          <w:highlight w:val="none"/>
          <w:lang w:val="en-US" w:eastAsia="zh-CN"/>
        </w:rPr>
      </w:pPr>
      <w:r>
        <w:rPr>
          <w:rFonts w:hint="eastAsia" w:ascii="宋体" w:hAnsi="宋体" w:eastAsia="宋体" w:cs="宋体"/>
          <w:sz w:val="24"/>
          <w:highlight w:val="none"/>
          <w:lang w:val="en-US" w:eastAsia="zh-CN"/>
        </w:rPr>
        <w:t>5.根据采购方需求，对新建、改建、扩建项目职业病危害放射防护工作提供必要的技术指导。</w:t>
      </w:r>
    </w:p>
    <w:p w14:paraId="15DE2629">
      <w:pPr>
        <w:keepNext w:val="0"/>
        <w:keepLines w:val="0"/>
        <w:pageBreakBefore w:val="0"/>
        <w:widowControl w:val="0"/>
        <w:tabs>
          <w:tab w:val="left" w:pos="1546"/>
        </w:tabs>
        <w:kinsoku/>
        <w:wordWrap/>
        <w:overflowPunct/>
        <w:topLinePunct w:val="0"/>
        <w:autoSpaceDE w:val="0"/>
        <w:autoSpaceDN w:val="0"/>
        <w:bidi w:val="0"/>
        <w:adjustRightInd w:val="0"/>
        <w:snapToGrid/>
        <w:spacing w:line="360" w:lineRule="auto"/>
        <w:ind w:firstLine="480" w:firstLineChars="200"/>
        <w:jc w:val="left"/>
        <w:textAlignment w:val="auto"/>
        <w:rPr>
          <w:rFonts w:hint="eastAsia" w:ascii="宋体" w:hAnsi="宋体" w:eastAsia="宋体" w:cs="宋体"/>
          <w:sz w:val="24"/>
          <w:highlight w:val="none"/>
          <w:lang w:val="en-US" w:eastAsia="zh-CN"/>
        </w:rPr>
      </w:pPr>
      <w:r>
        <w:rPr>
          <w:rFonts w:hint="eastAsia" w:ascii="宋体" w:hAnsi="宋体" w:eastAsia="宋体" w:cs="宋体"/>
          <w:sz w:val="24"/>
          <w:highlight w:val="none"/>
          <w:lang w:val="en-US" w:eastAsia="zh-CN"/>
        </w:rPr>
        <w:t>6.供应商完成的报告如果不能通过相关单位的检查，供应商免费重新检测并编制报告直到通过相关单位检查为止。如因供应商原因引发损失的，由供应商赔付相关损失。</w:t>
      </w:r>
    </w:p>
    <w:p w14:paraId="35F1673D">
      <w:pPr>
        <w:keepNext w:val="0"/>
        <w:keepLines w:val="0"/>
        <w:pageBreakBefore w:val="0"/>
        <w:widowControl w:val="0"/>
        <w:tabs>
          <w:tab w:val="left" w:pos="1546"/>
        </w:tabs>
        <w:kinsoku/>
        <w:wordWrap/>
        <w:overflowPunct/>
        <w:topLinePunct w:val="0"/>
        <w:autoSpaceDE w:val="0"/>
        <w:autoSpaceDN w:val="0"/>
        <w:bidi w:val="0"/>
        <w:adjustRightInd w:val="0"/>
        <w:snapToGrid/>
        <w:spacing w:line="360" w:lineRule="auto"/>
        <w:ind w:firstLine="480" w:firstLineChars="200"/>
        <w:jc w:val="left"/>
        <w:textAlignment w:val="auto"/>
        <w:rPr>
          <w:rFonts w:hint="eastAsia" w:ascii="宋体" w:hAnsi="宋体" w:eastAsia="宋体" w:cs="宋体"/>
          <w:sz w:val="24"/>
          <w:highlight w:val="none"/>
          <w:lang w:val="en-US" w:eastAsia="zh-CN"/>
        </w:rPr>
      </w:pPr>
      <w:r>
        <w:rPr>
          <w:rFonts w:hint="eastAsia" w:ascii="宋体" w:hAnsi="宋体" w:eastAsia="宋体" w:cs="宋体"/>
          <w:sz w:val="24"/>
          <w:highlight w:val="none"/>
          <w:lang w:val="en-US" w:eastAsia="zh-CN"/>
        </w:rPr>
        <w:t>7.专人负责对接采购人业务，及时响应采购方需求。</w:t>
      </w:r>
    </w:p>
    <w:p w14:paraId="6AB4D9DC">
      <w:pPr>
        <w:keepNext w:val="0"/>
        <w:keepLines w:val="0"/>
        <w:pageBreakBefore w:val="0"/>
        <w:widowControl w:val="0"/>
        <w:tabs>
          <w:tab w:val="left" w:pos="1546"/>
        </w:tabs>
        <w:kinsoku/>
        <w:wordWrap/>
        <w:overflowPunct/>
        <w:topLinePunct w:val="0"/>
        <w:autoSpaceDE w:val="0"/>
        <w:autoSpaceDN w:val="0"/>
        <w:bidi w:val="0"/>
        <w:adjustRightInd w:val="0"/>
        <w:snapToGrid/>
        <w:spacing w:line="360" w:lineRule="auto"/>
        <w:ind w:firstLine="482" w:firstLineChars="200"/>
        <w:jc w:val="left"/>
        <w:textAlignment w:val="auto"/>
        <w:rPr>
          <w:rFonts w:hint="eastAsia" w:hAnsi="宋体" w:cs="宋体"/>
          <w:b/>
          <w:spacing w:val="-6"/>
          <w:sz w:val="24"/>
          <w:highlight w:val="none"/>
        </w:rPr>
      </w:pPr>
      <w:r>
        <w:rPr>
          <w:rFonts w:hint="eastAsia" w:hAnsi="宋体" w:cs="宋体"/>
          <w:b/>
          <w:bCs/>
          <w:sz w:val="24"/>
          <w:szCs w:val="24"/>
          <w:highlight w:val="none"/>
        </w:rPr>
        <w:t>★</w:t>
      </w:r>
      <w:r>
        <w:rPr>
          <w:rFonts w:hint="eastAsia" w:hAnsi="宋体" w:cs="宋体"/>
          <w:b/>
          <w:spacing w:val="-6"/>
          <w:sz w:val="24"/>
          <w:highlight w:val="none"/>
        </w:rPr>
        <w:t>四、商务要求</w:t>
      </w:r>
    </w:p>
    <w:p w14:paraId="2A8AC321">
      <w:pPr>
        <w:keepNext w:val="0"/>
        <w:keepLines w:val="0"/>
        <w:pageBreakBefore w:val="0"/>
        <w:widowControl w:val="0"/>
        <w:tabs>
          <w:tab w:val="left" w:pos="1546"/>
        </w:tabs>
        <w:kinsoku/>
        <w:wordWrap/>
        <w:overflowPunct/>
        <w:topLinePunct w:val="0"/>
        <w:autoSpaceDE w:val="0"/>
        <w:autoSpaceDN w:val="0"/>
        <w:bidi w:val="0"/>
        <w:adjustRightInd w:val="0"/>
        <w:snapToGrid/>
        <w:spacing w:line="360" w:lineRule="auto"/>
        <w:ind w:firstLine="480" w:firstLineChars="200"/>
        <w:jc w:val="left"/>
        <w:textAlignment w:val="auto"/>
        <w:rPr>
          <w:rFonts w:hint="eastAsia" w:ascii="宋体" w:hAnsi="宋体" w:eastAsia="宋体" w:cs="宋体"/>
          <w:sz w:val="24"/>
          <w:highlight w:val="none"/>
          <w:lang w:val="en-US" w:eastAsia="zh-CN"/>
        </w:rPr>
      </w:pPr>
      <w:r>
        <w:rPr>
          <w:rFonts w:hint="eastAsia" w:ascii="宋体" w:hAnsi="宋体" w:eastAsia="宋体" w:cs="宋体"/>
          <w:sz w:val="24"/>
          <w:highlight w:val="none"/>
          <w:lang w:val="en-US" w:eastAsia="zh-CN"/>
        </w:rPr>
        <w:t>1.服务</w:t>
      </w:r>
      <w:r>
        <w:rPr>
          <w:rFonts w:hint="default" w:ascii="宋体" w:hAnsi="宋体" w:eastAsia="宋体" w:cs="宋体"/>
          <w:sz w:val="24"/>
          <w:highlight w:val="none"/>
          <w:lang w:val="en-US" w:eastAsia="zh-CN"/>
        </w:rPr>
        <w:t>期限：</w:t>
      </w:r>
      <w:r>
        <w:rPr>
          <w:rFonts w:hint="eastAsia" w:ascii="宋体" w:hAnsi="宋体" w:eastAsia="宋体" w:cs="宋体"/>
          <w:sz w:val="24"/>
          <w:highlight w:val="none"/>
          <w:lang w:val="en-US" w:eastAsia="zh-CN"/>
        </w:rPr>
        <w:t>2025年3月</w:t>
      </w:r>
      <w:r>
        <w:rPr>
          <w:rFonts w:hint="default" w:ascii="宋体" w:hAnsi="宋体" w:eastAsia="宋体" w:cs="宋体"/>
          <w:sz w:val="24"/>
          <w:highlight w:val="none"/>
          <w:lang w:val="en-US" w:eastAsia="zh-CN"/>
        </w:rPr>
        <w:t>起</w:t>
      </w:r>
      <w:r>
        <w:rPr>
          <w:rFonts w:hint="eastAsia" w:ascii="宋体" w:hAnsi="宋体" w:eastAsia="宋体" w:cs="宋体"/>
          <w:sz w:val="24"/>
          <w:highlight w:val="none"/>
          <w:lang w:val="en-US" w:eastAsia="zh-CN"/>
        </w:rPr>
        <w:t>至2026年3月</w:t>
      </w:r>
      <w:r>
        <w:rPr>
          <w:rFonts w:hint="default" w:ascii="宋体" w:hAnsi="宋体" w:eastAsia="宋体" w:cs="宋体"/>
          <w:sz w:val="24"/>
          <w:highlight w:val="none"/>
          <w:lang w:val="en-US" w:eastAsia="zh-CN"/>
        </w:rPr>
        <w:t>止</w:t>
      </w:r>
      <w:r>
        <w:rPr>
          <w:rFonts w:hint="eastAsia" w:ascii="宋体" w:hAnsi="宋体" w:eastAsia="宋体" w:cs="宋体"/>
          <w:sz w:val="24"/>
          <w:highlight w:val="none"/>
          <w:lang w:val="en-US" w:eastAsia="zh-CN"/>
        </w:rPr>
        <w:t>。</w:t>
      </w:r>
    </w:p>
    <w:p w14:paraId="1405AB20">
      <w:pPr>
        <w:keepNext w:val="0"/>
        <w:keepLines w:val="0"/>
        <w:pageBreakBefore w:val="0"/>
        <w:widowControl w:val="0"/>
        <w:tabs>
          <w:tab w:val="left" w:pos="1546"/>
        </w:tabs>
        <w:kinsoku/>
        <w:wordWrap/>
        <w:overflowPunct/>
        <w:topLinePunct w:val="0"/>
        <w:autoSpaceDE w:val="0"/>
        <w:autoSpaceDN w:val="0"/>
        <w:bidi w:val="0"/>
        <w:adjustRightInd w:val="0"/>
        <w:snapToGrid/>
        <w:spacing w:line="360" w:lineRule="auto"/>
        <w:ind w:firstLine="480" w:firstLineChars="200"/>
        <w:jc w:val="left"/>
        <w:textAlignment w:val="auto"/>
        <w:rPr>
          <w:rFonts w:hint="eastAsia" w:ascii="宋体" w:hAnsi="宋体" w:eastAsia="宋体" w:cs="宋体"/>
          <w:sz w:val="24"/>
          <w:highlight w:val="none"/>
          <w:lang w:val="en-US" w:eastAsia="zh-CN"/>
        </w:rPr>
      </w:pPr>
      <w:r>
        <w:rPr>
          <w:rFonts w:hint="eastAsia" w:ascii="宋体" w:hAnsi="宋体" w:eastAsia="宋体" w:cs="宋体"/>
          <w:sz w:val="24"/>
          <w:highlight w:val="none"/>
          <w:lang w:val="en-US" w:eastAsia="zh-CN"/>
        </w:rPr>
        <w:t>2.服务地点：采购人指定服务地点。</w:t>
      </w:r>
    </w:p>
    <w:p w14:paraId="4E0D93CD">
      <w:pPr>
        <w:keepNext w:val="0"/>
        <w:keepLines w:val="0"/>
        <w:pageBreakBefore w:val="0"/>
        <w:widowControl w:val="0"/>
        <w:tabs>
          <w:tab w:val="left" w:pos="1546"/>
        </w:tabs>
        <w:kinsoku/>
        <w:wordWrap/>
        <w:overflowPunct/>
        <w:topLinePunct w:val="0"/>
        <w:autoSpaceDE w:val="0"/>
        <w:autoSpaceDN w:val="0"/>
        <w:bidi w:val="0"/>
        <w:adjustRightInd w:val="0"/>
        <w:snapToGrid/>
        <w:spacing w:line="360" w:lineRule="auto"/>
        <w:ind w:firstLine="480" w:firstLineChars="200"/>
        <w:jc w:val="left"/>
        <w:textAlignment w:val="auto"/>
        <w:rPr>
          <w:rFonts w:hint="default" w:ascii="宋体" w:hAnsi="宋体" w:eastAsia="宋体" w:cs="宋体"/>
          <w:sz w:val="24"/>
          <w:highlight w:val="none"/>
          <w:lang w:val="en-US" w:eastAsia="zh-CN"/>
        </w:rPr>
      </w:pPr>
      <w:r>
        <w:rPr>
          <w:rFonts w:hint="eastAsia" w:ascii="宋体" w:hAnsi="宋体" w:eastAsia="宋体" w:cs="宋体"/>
          <w:sz w:val="24"/>
          <w:highlight w:val="none"/>
          <w:lang w:val="en-US" w:eastAsia="zh-CN"/>
        </w:rPr>
        <w:t>3.付款方式：验收合格后由供应商开具合法票据，在收到票据后30日内进行付款。双方约定其他支付方式的，按照双方约定执行。</w:t>
      </w:r>
    </w:p>
    <w:p w14:paraId="5DEB7F9C">
      <w:pPr>
        <w:tabs>
          <w:tab w:val="left" w:pos="1546"/>
        </w:tabs>
        <w:autoSpaceDE w:val="0"/>
        <w:autoSpaceDN w:val="0"/>
        <w:adjustRightInd w:val="0"/>
        <w:spacing w:line="440" w:lineRule="exact"/>
        <w:ind w:firstLine="480" w:firstLineChars="200"/>
        <w:jc w:val="left"/>
        <w:rPr>
          <w:rFonts w:hint="eastAsia" w:ascii="宋体" w:hAnsi="宋体" w:eastAsia="宋体" w:cs="宋体"/>
          <w:sz w:val="24"/>
          <w:highlight w:val="none"/>
          <w:lang w:val="en-US" w:eastAsia="zh-CN"/>
        </w:rPr>
      </w:pPr>
      <w:r>
        <w:rPr>
          <w:rFonts w:hint="eastAsia" w:ascii="宋体" w:hAnsi="宋体" w:eastAsia="宋体" w:cs="宋体"/>
          <w:sz w:val="24"/>
          <w:highlight w:val="none"/>
          <w:lang w:val="en-US" w:eastAsia="zh-CN"/>
        </w:rPr>
        <w:t>4.</w:t>
      </w:r>
      <w:r>
        <w:rPr>
          <w:rFonts w:hint="default" w:ascii="宋体" w:hAnsi="宋体" w:eastAsia="宋体" w:cs="宋体"/>
          <w:sz w:val="24"/>
          <w:highlight w:val="none"/>
          <w:lang w:val="en-US" w:eastAsia="zh-CN"/>
        </w:rPr>
        <w:t>验收交付标准和方法：</w:t>
      </w:r>
      <w:r>
        <w:rPr>
          <w:rFonts w:hint="eastAsia" w:ascii="宋体" w:hAnsi="宋体" w:eastAsia="宋体" w:cs="宋体"/>
          <w:sz w:val="24"/>
          <w:highlight w:val="none"/>
          <w:lang w:val="en-US" w:eastAsia="zh-CN"/>
        </w:rPr>
        <w:t>项目顺利通过卫生健康行政部门及生态环境主管部门的审核批准。</w:t>
      </w:r>
    </w:p>
    <w:p w14:paraId="09EE570D">
      <w:pPr>
        <w:tabs>
          <w:tab w:val="left" w:pos="1546"/>
        </w:tabs>
        <w:autoSpaceDE w:val="0"/>
        <w:autoSpaceDN w:val="0"/>
        <w:adjustRightInd w:val="0"/>
        <w:spacing w:line="440" w:lineRule="exact"/>
        <w:ind w:firstLine="480" w:firstLineChars="200"/>
        <w:jc w:val="left"/>
        <w:rPr>
          <w:rFonts w:hint="default" w:ascii="宋体" w:hAnsi="宋体" w:eastAsia="宋体" w:cs="宋体"/>
          <w:sz w:val="24"/>
          <w:highlight w:val="none"/>
          <w:lang w:val="en-US" w:eastAsia="zh-CN"/>
        </w:rPr>
      </w:pPr>
      <w:r>
        <w:rPr>
          <w:rFonts w:hint="eastAsia" w:ascii="宋体" w:hAnsi="宋体" w:eastAsia="宋体" w:cs="宋体"/>
          <w:sz w:val="24"/>
          <w:highlight w:val="none"/>
          <w:lang w:val="en-US" w:eastAsia="zh-CN"/>
        </w:rPr>
        <w:t>5.</w:t>
      </w:r>
      <w:r>
        <w:rPr>
          <w:rFonts w:hint="default" w:ascii="宋体" w:hAnsi="宋体" w:eastAsia="宋体" w:cs="宋体"/>
          <w:sz w:val="24"/>
          <w:highlight w:val="none"/>
          <w:lang w:val="en-US" w:eastAsia="zh-CN"/>
        </w:rPr>
        <w:t>违约责任与解决争议的方法：</w:t>
      </w:r>
      <w:r>
        <w:rPr>
          <w:rFonts w:hint="eastAsia" w:ascii="宋体" w:hAnsi="宋体" w:eastAsia="宋体" w:cs="宋体"/>
          <w:sz w:val="24"/>
          <w:highlight w:val="none"/>
          <w:lang w:val="en-US" w:eastAsia="zh-CN"/>
        </w:rPr>
        <w:t>（1）供应商如未按要求的行业标准与相关的法律法规编写报告，采购方有权单方面终止合同，并且供应商全额退还采购方支付的技术服务费，采购方有权追究供应商的法律责任；（2）单个项目未在规定时限内完成，</w:t>
      </w:r>
      <w:r>
        <w:rPr>
          <w:rFonts w:hint="eastAsia" w:ascii="宋体" w:hAnsi="宋体" w:eastAsia="宋体" w:cs="宋体"/>
          <w:sz w:val="24"/>
          <w:highlight w:val="none"/>
          <w:lang w:val="en-US" w:eastAsia="zh-Hans"/>
        </w:rPr>
        <w:t>应向采购人支付</w:t>
      </w:r>
      <w:r>
        <w:rPr>
          <w:rFonts w:hint="eastAsia" w:ascii="宋体" w:hAnsi="宋体" w:eastAsia="宋体" w:cs="宋体"/>
          <w:sz w:val="24"/>
          <w:highlight w:val="none"/>
          <w:lang w:val="en-US" w:eastAsia="zh-CN"/>
        </w:rPr>
        <w:t>此项目总费用20%</w:t>
      </w:r>
      <w:r>
        <w:rPr>
          <w:rFonts w:hint="eastAsia" w:ascii="宋体" w:hAnsi="宋体" w:eastAsia="宋体" w:cs="宋体"/>
          <w:sz w:val="24"/>
          <w:highlight w:val="none"/>
          <w:lang w:val="en-US" w:eastAsia="zh-Hans"/>
        </w:rPr>
        <w:t>的</w:t>
      </w:r>
      <w:r>
        <w:rPr>
          <w:rFonts w:hint="eastAsia" w:ascii="宋体" w:hAnsi="宋体" w:eastAsia="宋体" w:cs="宋体"/>
          <w:sz w:val="24"/>
          <w:highlight w:val="none"/>
          <w:lang w:val="en-US" w:eastAsia="zh-CN"/>
        </w:rPr>
        <w:t>违约金；（3）因本次合同签订、履行等所有事项的争议或者纠纷，均应通过向</w:t>
      </w:r>
      <w:r>
        <w:rPr>
          <w:rFonts w:hint="eastAsia" w:ascii="宋体" w:hAnsi="宋体" w:eastAsia="宋体" w:cs="宋体"/>
          <w:sz w:val="24"/>
          <w:highlight w:val="none"/>
          <w:lang w:val="en-US" w:eastAsia="zh-Hans"/>
        </w:rPr>
        <w:t>采购方住所地</w:t>
      </w:r>
      <w:r>
        <w:rPr>
          <w:rFonts w:hint="eastAsia" w:ascii="宋体" w:hAnsi="宋体" w:eastAsia="宋体" w:cs="宋体"/>
          <w:sz w:val="24"/>
          <w:highlight w:val="none"/>
          <w:lang w:val="en-US" w:eastAsia="zh-CN"/>
        </w:rPr>
        <w:t>人民法院提起诉讼解决。</w:t>
      </w:r>
    </w:p>
    <w:p w14:paraId="73A83B7E">
      <w:pPr>
        <w:tabs>
          <w:tab w:val="left" w:pos="1546"/>
        </w:tabs>
        <w:autoSpaceDE w:val="0"/>
        <w:autoSpaceDN w:val="0"/>
        <w:adjustRightInd w:val="0"/>
        <w:spacing w:line="440" w:lineRule="exact"/>
        <w:ind w:firstLine="480" w:firstLineChars="200"/>
        <w:jc w:val="left"/>
        <w:rPr>
          <w:rFonts w:hint="eastAsia" w:ascii="宋体" w:hAnsi="宋体" w:eastAsia="宋体" w:cs="宋体"/>
          <w:sz w:val="24"/>
          <w:highlight w:val="none"/>
          <w:lang w:val="en-US" w:eastAsia="zh-CN"/>
        </w:rPr>
      </w:pPr>
      <w:r>
        <w:rPr>
          <w:rFonts w:hint="eastAsia" w:ascii="宋体" w:hAnsi="宋体" w:eastAsia="宋体" w:cs="宋体"/>
          <w:sz w:val="24"/>
          <w:highlight w:val="none"/>
          <w:lang w:val="en-US" w:eastAsia="zh-CN"/>
        </w:rPr>
        <w:t>6.供应商必须严格按照最新的行业标准与相关的法律法规编写报告，如未按要求的行业标准与相关的法律法规编写报告，采购方有权单方面终止合同，并且供应商全额退还采购方支付的技术服务费，采购方有权追究供应商的法律责任。</w:t>
      </w:r>
    </w:p>
    <w:p w14:paraId="52D29149">
      <w:pPr>
        <w:tabs>
          <w:tab w:val="left" w:pos="1546"/>
        </w:tabs>
        <w:autoSpaceDE w:val="0"/>
        <w:autoSpaceDN w:val="0"/>
        <w:adjustRightInd w:val="0"/>
        <w:spacing w:line="440" w:lineRule="exact"/>
        <w:ind w:firstLine="480" w:firstLineChars="200"/>
        <w:jc w:val="left"/>
        <w:rPr>
          <w:rFonts w:hint="eastAsia" w:ascii="宋体" w:hAnsi="宋体" w:eastAsia="宋体" w:cs="宋体"/>
          <w:sz w:val="24"/>
          <w:highlight w:val="none"/>
          <w:lang w:val="en-US" w:eastAsia="zh-CN"/>
        </w:rPr>
      </w:pPr>
      <w:r>
        <w:rPr>
          <w:rFonts w:hint="eastAsia" w:ascii="宋体" w:hAnsi="宋体" w:eastAsia="宋体" w:cs="宋体"/>
          <w:sz w:val="24"/>
          <w:highlight w:val="none"/>
          <w:lang w:val="en-US" w:eastAsia="zh-CN"/>
        </w:rPr>
        <w:t>7.供应商应拟定应急响应方案，制定应急响应方案来应对采购方临时、突发的检测服务要求。</w:t>
      </w:r>
    </w:p>
    <w:p w14:paraId="429FC6EF">
      <w:pPr>
        <w:tabs>
          <w:tab w:val="left" w:pos="1546"/>
        </w:tabs>
        <w:autoSpaceDE w:val="0"/>
        <w:autoSpaceDN w:val="0"/>
        <w:adjustRightInd w:val="0"/>
        <w:spacing w:line="440" w:lineRule="exact"/>
        <w:ind w:firstLine="480" w:firstLineChars="200"/>
        <w:jc w:val="left"/>
        <w:rPr>
          <w:rFonts w:hint="eastAsia" w:ascii="宋体" w:hAnsi="宋体" w:eastAsia="宋体" w:cs="宋体"/>
          <w:sz w:val="24"/>
          <w:highlight w:val="none"/>
          <w:lang w:val="en-US" w:eastAsia="zh-CN"/>
        </w:rPr>
      </w:pPr>
      <w:r>
        <w:rPr>
          <w:rFonts w:hint="eastAsia" w:ascii="宋体" w:hAnsi="宋体" w:eastAsia="宋体" w:cs="宋体"/>
          <w:sz w:val="24"/>
          <w:highlight w:val="none"/>
          <w:lang w:val="en-US" w:eastAsia="zh-CN"/>
        </w:rPr>
        <w:t>8.采购方有时间节点要求的项目，供应商须按照采购方要求在规定的时间节点内完成检测并交付报告。</w:t>
      </w:r>
    </w:p>
    <w:p w14:paraId="0C770F1D">
      <w:pPr>
        <w:tabs>
          <w:tab w:val="left" w:pos="1546"/>
        </w:tabs>
        <w:autoSpaceDE w:val="0"/>
        <w:autoSpaceDN w:val="0"/>
        <w:adjustRightInd w:val="0"/>
        <w:spacing w:line="440" w:lineRule="exact"/>
        <w:ind w:firstLine="480" w:firstLineChars="200"/>
        <w:jc w:val="left"/>
        <w:rPr>
          <w:rFonts w:hint="eastAsia" w:ascii="宋体" w:hAnsi="宋体" w:eastAsia="宋体" w:cs="宋体"/>
          <w:sz w:val="24"/>
          <w:highlight w:val="none"/>
          <w:lang w:val="en-US" w:eastAsia="zh-CN"/>
        </w:rPr>
      </w:pPr>
      <w:r>
        <w:rPr>
          <w:rFonts w:hint="eastAsia" w:ascii="宋体" w:hAnsi="宋体" w:eastAsia="宋体" w:cs="宋体"/>
          <w:sz w:val="24"/>
          <w:highlight w:val="none"/>
          <w:lang w:val="en-US" w:eastAsia="zh-CN"/>
        </w:rPr>
        <w:t>9.单个项目未在规定时限内完成，</w:t>
      </w:r>
      <w:r>
        <w:rPr>
          <w:rFonts w:hint="eastAsia" w:ascii="宋体" w:hAnsi="宋体" w:eastAsia="宋体" w:cs="宋体"/>
          <w:sz w:val="24"/>
          <w:highlight w:val="none"/>
          <w:lang w:val="en-US" w:eastAsia="zh-Hans"/>
        </w:rPr>
        <w:t>应向采购方支付</w:t>
      </w:r>
      <w:r>
        <w:rPr>
          <w:rFonts w:hint="eastAsia" w:ascii="宋体" w:hAnsi="宋体" w:eastAsia="宋体" w:cs="宋体"/>
          <w:sz w:val="24"/>
          <w:highlight w:val="none"/>
          <w:lang w:val="en-US" w:eastAsia="zh-CN"/>
        </w:rPr>
        <w:t>此项目总费用20%</w:t>
      </w:r>
      <w:r>
        <w:rPr>
          <w:rFonts w:hint="eastAsia" w:ascii="宋体" w:hAnsi="宋体" w:eastAsia="宋体" w:cs="宋体"/>
          <w:sz w:val="24"/>
          <w:highlight w:val="none"/>
          <w:lang w:val="en-US" w:eastAsia="zh-Hans"/>
        </w:rPr>
        <w:t>的</w:t>
      </w:r>
      <w:r>
        <w:rPr>
          <w:rFonts w:hint="eastAsia" w:ascii="宋体" w:hAnsi="宋体" w:eastAsia="宋体" w:cs="宋体"/>
          <w:sz w:val="24"/>
          <w:highlight w:val="none"/>
          <w:lang w:val="en-US" w:eastAsia="zh-CN"/>
        </w:rPr>
        <w:t>违约金。</w:t>
      </w:r>
    </w:p>
    <w:p w14:paraId="66942BA6">
      <w:pPr>
        <w:pStyle w:val="2"/>
        <w:rPr>
          <w:rFonts w:hint="eastAsia"/>
          <w:highlight w:val="none"/>
        </w:rPr>
      </w:pPr>
    </w:p>
    <w:p w14:paraId="1B5B494B">
      <w:pPr>
        <w:pStyle w:val="2"/>
        <w:spacing w:after="0" w:line="360" w:lineRule="auto"/>
        <w:ind w:firstLine="723" w:firstLineChars="300"/>
        <w:rPr>
          <w:rFonts w:hint="eastAsia" w:ascii="宋体" w:hAnsi="宋体" w:cs="宋体"/>
          <w:kern w:val="2"/>
          <w:sz w:val="24"/>
          <w:szCs w:val="24"/>
          <w:highlight w:val="none"/>
        </w:rPr>
      </w:pPr>
      <w:r>
        <w:rPr>
          <w:rFonts w:hint="eastAsia" w:ascii="宋体" w:hAnsi="宋体" w:cs="宋体"/>
          <w:b/>
          <w:bCs/>
          <w:sz w:val="24"/>
          <w:szCs w:val="24"/>
          <w:highlight w:val="none"/>
        </w:rPr>
        <w:t>注：本章标注“★”要求为本项目实质性要求，不满足作无效投标处理。</w:t>
      </w:r>
    </w:p>
    <w:p w14:paraId="0E923D07">
      <w:pPr>
        <w:rPr>
          <w:highlight w:val="none"/>
        </w:rPr>
      </w:pPr>
      <w:bookmarkStart w:id="10" w:name="_GoBack"/>
      <w:bookmarkEnd w:id="10"/>
    </w:p>
    <w:sectPr>
      <w:pgSz w:w="11906" w:h="16838"/>
      <w:pgMar w:top="1440" w:right="1417" w:bottom="1440" w:left="141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C"/>
    <w:multiLevelType w:val="singleLevel"/>
    <w:tmpl w:val="0000000C"/>
    <w:lvl w:ilvl="0" w:tentative="0">
      <w:start w:val="5"/>
      <w:numFmt w:val="chineseCounting"/>
      <w:suff w:val="space"/>
      <w:lvlText w:val="第%1章"/>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77F66F5"/>
    <w:rsid w:val="108B406B"/>
    <w:rsid w:val="1ACE595C"/>
    <w:rsid w:val="32406A50"/>
    <w:rsid w:val="388A64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widowControl w:val="0"/>
      <w:autoSpaceDE/>
      <w:autoSpaceDN/>
      <w:spacing w:before="0" w:after="0" w:line="360" w:lineRule="auto"/>
      <w:ind w:left="0" w:firstLine="24"/>
      <w:jc w:val="center"/>
      <w:outlineLvl w:val="0"/>
    </w:pPr>
    <w:rPr>
      <w:rFonts w:ascii="Times New Roman" w:hAnsi="Times New Roman" w:eastAsia="仿宋" w:cs="Times New Roman"/>
      <w:b/>
      <w:sz w:val="32"/>
      <w:szCs w:val="22"/>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next w:val="1"/>
    <w:uiPriority w:val="0"/>
    <w:pPr>
      <w:spacing w:after="120"/>
    </w:pPr>
    <w:rPr>
      <w:rFonts w:ascii="Times New Roman" w:hAnsi="Times New Roman" w:eastAsia="宋体" w:cs="Times New Roman"/>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7">
    <w:name w:val="null3"/>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3776</Words>
  <Characters>3884</Characters>
  <Lines>0</Lines>
  <Paragraphs>0</Paragraphs>
  <TotalTime>0</TotalTime>
  <ScaleCrop>false</ScaleCrop>
  <LinksUpToDate>false</LinksUpToDate>
  <CharactersWithSpaces>3891</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WPS_1560395941</cp:lastModifiedBy>
  <dcterms:modified xsi:type="dcterms:W3CDTF">2025-02-26T09:47:36Z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KSOTemplateDocerSaveRecord">
    <vt:lpwstr>eyJoZGlkIjoiMTdkMjRmMjQ4MjQ0NzA2NjA1YjVlNTZiOTA4ZWExZmUiLCJ1c2VySWQiOiI1NzgyMTk1MTIifQ==</vt:lpwstr>
  </property>
  <property fmtid="{D5CDD505-2E9C-101B-9397-08002B2CF9AE}" pid="4" name="ICV">
    <vt:lpwstr>C5B7C8CBB9774CFEB3B6A5951A74B4A9_12</vt:lpwstr>
  </property>
</Properties>
</file>