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default"/>
          <w:b/>
          <w:bCs/>
          <w:sz w:val="22"/>
          <w:szCs w:val="28"/>
          <w:lang w:val="en-US"/>
        </w:rPr>
      </w:pPr>
      <w:r>
        <w:rPr>
          <w:rFonts w:hint="eastAsia" w:ascii="仿宋" w:hAnsi="仿宋" w:eastAsia="仿宋" w:cs="仿宋"/>
          <w:b/>
          <w:bCs/>
          <w:sz w:val="28"/>
          <w:szCs w:val="28"/>
          <w:highlight w:val="none"/>
          <w:lang w:val="en-US" w:eastAsia="zh-CN"/>
        </w:rPr>
        <w:t>2025年一次性使用血浆胆红素吸附器及一次性使用血液灌流器采购项目（二次）采购需求</w:t>
      </w:r>
    </w:p>
    <w:p w14:paraId="0A2475A2">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0"/>
          <w:szCs w:val="30"/>
          <w:highlight w:val="none"/>
        </w:rPr>
        <w:t>第三章 技术、服务及其他要求</w:t>
      </w:r>
      <w:bookmarkEnd w:id="0"/>
    </w:p>
    <w:p w14:paraId="7A18C36D">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A756A3F">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4DE5A21D">
      <w:pPr>
        <w:pStyle w:val="11"/>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764ADFB5">
      <w:pPr>
        <w:pStyle w:val="11"/>
        <w:ind w:firstLine="480"/>
        <w:jc w:val="left"/>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tbl>
      <w:tblPr>
        <w:tblStyle w:val="7"/>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9"/>
        <w:gridCol w:w="631"/>
        <w:gridCol w:w="2441"/>
        <w:gridCol w:w="1656"/>
        <w:gridCol w:w="1656"/>
        <w:gridCol w:w="1656"/>
      </w:tblGrid>
      <w:tr w14:paraId="299C7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1" w:type="pct"/>
            <w:vAlign w:val="center"/>
          </w:tcPr>
          <w:p w14:paraId="2B0AC50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70" w:type="pct"/>
            <w:vAlign w:val="center"/>
          </w:tcPr>
          <w:p w14:paraId="585AC78E">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431" w:type="pct"/>
            <w:vAlign w:val="center"/>
          </w:tcPr>
          <w:p w14:paraId="02120E9F">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971" w:type="pct"/>
            <w:vAlign w:val="center"/>
          </w:tcPr>
          <w:p w14:paraId="520565D7">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预算单价（元）</w:t>
            </w:r>
          </w:p>
        </w:tc>
        <w:tc>
          <w:tcPr>
            <w:tcW w:w="971" w:type="pct"/>
            <w:vAlign w:val="center"/>
          </w:tcPr>
          <w:p w14:paraId="0ACD1C81">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971" w:type="pct"/>
            <w:vAlign w:val="center"/>
          </w:tcPr>
          <w:p w14:paraId="17C56273">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预算金额/最高限价（每年）（元）</w:t>
            </w:r>
          </w:p>
        </w:tc>
      </w:tr>
      <w:tr w14:paraId="3391D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restart"/>
            <w:vAlign w:val="center"/>
          </w:tcPr>
          <w:p w14:paraId="5F9135D8">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70" w:type="pct"/>
            <w:vAlign w:val="center"/>
          </w:tcPr>
          <w:p w14:paraId="39EBE636">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2441" w:type="dxa"/>
            <w:vAlign w:val="center"/>
          </w:tcPr>
          <w:p w14:paraId="77C5E2CB">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 xml:space="preserve">一次性使用血浆胆红素吸附器 </w:t>
            </w:r>
          </w:p>
        </w:tc>
        <w:tc>
          <w:tcPr>
            <w:tcW w:w="1656" w:type="dxa"/>
            <w:vAlign w:val="center"/>
          </w:tcPr>
          <w:p w14:paraId="1A8F7727">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3705</w:t>
            </w:r>
          </w:p>
        </w:tc>
        <w:tc>
          <w:tcPr>
            <w:tcW w:w="1656" w:type="dxa"/>
            <w:vAlign w:val="center"/>
          </w:tcPr>
          <w:p w14:paraId="434C7B55">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支</w:t>
            </w:r>
          </w:p>
        </w:tc>
        <w:tc>
          <w:tcPr>
            <w:tcW w:w="1656" w:type="dxa"/>
            <w:vAlign w:val="center"/>
          </w:tcPr>
          <w:p w14:paraId="64CEBF14">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据实结算</w:t>
            </w:r>
          </w:p>
        </w:tc>
      </w:tr>
      <w:tr w14:paraId="557B8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D035598">
            <w:pPr>
              <w:pStyle w:val="11"/>
              <w:jc w:val="center"/>
              <w:rPr>
                <w:rFonts w:hint="eastAsia" w:ascii="仿宋" w:hAnsi="仿宋" w:eastAsia="仿宋" w:cs="仿宋"/>
                <w:sz w:val="21"/>
                <w:szCs w:val="21"/>
                <w:highlight w:val="none"/>
                <w:lang w:val="en-US" w:eastAsia="zh-CN"/>
              </w:rPr>
            </w:pPr>
          </w:p>
        </w:tc>
        <w:tc>
          <w:tcPr>
            <w:tcW w:w="370" w:type="pct"/>
            <w:vAlign w:val="center"/>
          </w:tcPr>
          <w:p w14:paraId="4B17C6D6">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2441" w:type="dxa"/>
            <w:vAlign w:val="center"/>
          </w:tcPr>
          <w:p w14:paraId="689C3278">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一次性使用血液灌流器</w:t>
            </w:r>
          </w:p>
        </w:tc>
        <w:tc>
          <w:tcPr>
            <w:tcW w:w="1656" w:type="dxa"/>
            <w:vAlign w:val="center"/>
          </w:tcPr>
          <w:p w14:paraId="44B0D8F4">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1030</w:t>
            </w:r>
          </w:p>
        </w:tc>
        <w:tc>
          <w:tcPr>
            <w:tcW w:w="1656" w:type="dxa"/>
            <w:vAlign w:val="center"/>
          </w:tcPr>
          <w:p w14:paraId="2EDE16E1">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个</w:t>
            </w:r>
          </w:p>
        </w:tc>
        <w:tc>
          <w:tcPr>
            <w:tcW w:w="1656" w:type="dxa"/>
            <w:vAlign w:val="center"/>
          </w:tcPr>
          <w:p w14:paraId="6D98E376">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据实结算</w:t>
            </w:r>
          </w:p>
        </w:tc>
      </w:tr>
      <w:tr w14:paraId="1EF45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EED7A1F">
            <w:pPr>
              <w:pStyle w:val="11"/>
              <w:jc w:val="center"/>
              <w:rPr>
                <w:rFonts w:hint="eastAsia" w:ascii="仿宋" w:hAnsi="仿宋" w:eastAsia="仿宋" w:cs="仿宋"/>
                <w:sz w:val="21"/>
                <w:szCs w:val="21"/>
                <w:highlight w:val="none"/>
                <w:lang w:val="en-US" w:eastAsia="zh-CN"/>
              </w:rPr>
            </w:pPr>
          </w:p>
        </w:tc>
        <w:tc>
          <w:tcPr>
            <w:tcW w:w="370" w:type="pct"/>
            <w:vAlign w:val="center"/>
          </w:tcPr>
          <w:p w14:paraId="61A94971">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2441" w:type="dxa"/>
            <w:vAlign w:val="center"/>
          </w:tcPr>
          <w:p w14:paraId="773CD7E9">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一次性使用血液灌流器</w:t>
            </w:r>
          </w:p>
        </w:tc>
        <w:tc>
          <w:tcPr>
            <w:tcW w:w="1656" w:type="dxa"/>
            <w:vAlign w:val="center"/>
          </w:tcPr>
          <w:p w14:paraId="3D55B01B">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2242</w:t>
            </w:r>
          </w:p>
        </w:tc>
        <w:tc>
          <w:tcPr>
            <w:tcW w:w="1656" w:type="dxa"/>
            <w:vAlign w:val="center"/>
          </w:tcPr>
          <w:p w14:paraId="5C7FAEA1">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个</w:t>
            </w:r>
          </w:p>
        </w:tc>
        <w:tc>
          <w:tcPr>
            <w:tcW w:w="1656" w:type="dxa"/>
            <w:vAlign w:val="center"/>
          </w:tcPr>
          <w:p w14:paraId="342B2B95">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据实结算</w:t>
            </w:r>
          </w:p>
        </w:tc>
      </w:tr>
    </w:tbl>
    <w:p w14:paraId="07825749">
      <w:pPr>
        <w:pStyle w:val="11"/>
        <w:ind w:firstLine="480"/>
        <w:jc w:val="left"/>
        <w:rPr>
          <w:rFonts w:hint="eastAsia" w:ascii="仿宋" w:hAnsi="仿宋" w:eastAsia="仿宋" w:cs="仿宋"/>
          <w:highlight w:val="none"/>
        </w:rPr>
      </w:pPr>
      <w:bookmarkStart w:id="1" w:name="_GoBack"/>
      <w:bookmarkEnd w:id="1"/>
    </w:p>
    <w:p w14:paraId="13C3C6BF">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7031B07A">
      <w:pPr>
        <w:pStyle w:val="11"/>
        <w:jc w:val="left"/>
        <w:rPr>
          <w:rFonts w:hint="eastAsia" w:ascii="仿宋" w:hAnsi="仿宋" w:eastAsia="仿宋" w:cs="仿宋"/>
          <w:highlight w:val="none"/>
        </w:rPr>
      </w:pPr>
    </w:p>
    <w:p w14:paraId="17F65590">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64632063">
      <w:pPr>
        <w:pStyle w:val="11"/>
        <w:jc w:val="left"/>
        <w:outlineLvl w:val="2"/>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99"/>
        <w:gridCol w:w="1158"/>
        <w:gridCol w:w="1375"/>
        <w:gridCol w:w="2455"/>
        <w:gridCol w:w="1656"/>
        <w:gridCol w:w="1279"/>
      </w:tblGrid>
      <w:tr w14:paraId="7DFAE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99" w:type="dxa"/>
            <w:vAlign w:val="center"/>
          </w:tcPr>
          <w:p w14:paraId="6139F806">
            <w:pPr>
              <w:pStyle w:val="11"/>
              <w:jc w:val="center"/>
              <w:rPr>
                <w:rFonts w:hint="eastAsia" w:ascii="仿宋" w:hAnsi="仿宋" w:eastAsia="仿宋" w:cs="仿宋"/>
                <w:highlight w:val="none"/>
              </w:rPr>
            </w:pPr>
            <w:r>
              <w:rPr>
                <w:rFonts w:hint="eastAsia" w:ascii="仿宋" w:hAnsi="仿宋" w:eastAsia="仿宋" w:cs="仿宋"/>
                <w:highlight w:val="none"/>
              </w:rPr>
              <w:t>序号</w:t>
            </w:r>
          </w:p>
        </w:tc>
        <w:tc>
          <w:tcPr>
            <w:tcW w:w="1158" w:type="dxa"/>
            <w:vAlign w:val="center"/>
          </w:tcPr>
          <w:p w14:paraId="6C3979DE">
            <w:pPr>
              <w:pStyle w:val="11"/>
              <w:jc w:val="center"/>
              <w:rPr>
                <w:rFonts w:hint="eastAsia" w:ascii="仿宋" w:hAnsi="仿宋" w:eastAsia="仿宋" w:cs="仿宋"/>
                <w:highlight w:val="none"/>
              </w:rPr>
            </w:pPr>
            <w:r>
              <w:rPr>
                <w:rFonts w:hint="eastAsia" w:ascii="仿宋" w:hAnsi="仿宋" w:eastAsia="仿宋" w:cs="仿宋"/>
                <w:highlight w:val="none"/>
                <w:lang w:val="en-US" w:eastAsia="zh-CN"/>
              </w:rPr>
              <w:t>名称</w:t>
            </w:r>
          </w:p>
        </w:tc>
        <w:tc>
          <w:tcPr>
            <w:tcW w:w="1375" w:type="dxa"/>
            <w:vAlign w:val="center"/>
          </w:tcPr>
          <w:p w14:paraId="45B198D1">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医保耗材代码</w:t>
            </w:r>
          </w:p>
        </w:tc>
        <w:tc>
          <w:tcPr>
            <w:tcW w:w="2455" w:type="dxa"/>
            <w:vAlign w:val="center"/>
          </w:tcPr>
          <w:p w14:paraId="4E413231">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用途</w:t>
            </w:r>
          </w:p>
        </w:tc>
        <w:tc>
          <w:tcPr>
            <w:tcW w:w="1656" w:type="dxa"/>
            <w:vAlign w:val="center"/>
          </w:tcPr>
          <w:p w14:paraId="200C04C8">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参考型号</w:t>
            </w:r>
          </w:p>
        </w:tc>
        <w:tc>
          <w:tcPr>
            <w:tcW w:w="1279" w:type="dxa"/>
            <w:vAlign w:val="center"/>
          </w:tcPr>
          <w:p w14:paraId="1697B255">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7E8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99" w:type="dxa"/>
            <w:vAlign w:val="center"/>
          </w:tcPr>
          <w:p w14:paraId="1D9D8EB9">
            <w:pPr>
              <w:pStyle w:val="11"/>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p>
        </w:tc>
        <w:tc>
          <w:tcPr>
            <w:tcW w:w="1158" w:type="dxa"/>
            <w:vAlign w:val="center"/>
          </w:tcPr>
          <w:p w14:paraId="0B869454">
            <w:pPr>
              <w:keepNext w:val="0"/>
              <w:keepLines w:val="0"/>
              <w:widowControl/>
              <w:suppressLineNumbers w:val="0"/>
              <w:jc w:val="left"/>
              <w:textAlignment w:val="center"/>
              <w:rPr>
                <w:rFonts w:hint="default" w:ascii="仿宋" w:hAnsi="仿宋" w:eastAsia="仿宋" w:cs="仿宋"/>
                <w:sz w:val="22"/>
                <w:szCs w:val="28"/>
                <w:highlight w:val="none"/>
                <w:lang w:val="en-US"/>
              </w:rPr>
            </w:pPr>
            <w:r>
              <w:rPr>
                <w:rFonts w:hint="eastAsia" w:ascii="仿宋" w:hAnsi="仿宋" w:eastAsia="仿宋" w:cs="仿宋"/>
                <w:i w:val="0"/>
                <w:iCs w:val="0"/>
                <w:color w:val="000000"/>
                <w:kern w:val="0"/>
                <w:sz w:val="21"/>
                <w:szCs w:val="21"/>
                <w:highlight w:val="none"/>
                <w:u w:val="none"/>
                <w:lang w:val="en-US" w:eastAsia="zh-CN" w:bidi="ar"/>
              </w:rPr>
              <w:t xml:space="preserve">一次性使用血浆胆红素吸附器 </w:t>
            </w:r>
          </w:p>
        </w:tc>
        <w:tc>
          <w:tcPr>
            <w:tcW w:w="1375" w:type="dxa"/>
            <w:vAlign w:val="center"/>
          </w:tcPr>
          <w:p w14:paraId="4EB54D56">
            <w:pPr>
              <w:keepNext w:val="0"/>
              <w:keepLines w:val="0"/>
              <w:widowControl/>
              <w:suppressLineNumbers w:val="0"/>
              <w:jc w:val="center"/>
              <w:textAlignment w:val="center"/>
              <w:rPr>
                <w:rFonts w:hint="eastAsia" w:ascii="仿宋" w:hAnsi="仿宋" w:eastAsia="仿宋" w:cs="仿宋"/>
                <w:sz w:val="22"/>
                <w:szCs w:val="28"/>
                <w:highlight w:val="none"/>
              </w:rPr>
            </w:pPr>
            <w:r>
              <w:rPr>
                <w:rFonts w:hint="eastAsia" w:ascii="仿宋" w:hAnsi="仿宋" w:eastAsia="仿宋" w:cs="仿宋"/>
                <w:i w:val="0"/>
                <w:iCs w:val="0"/>
                <w:color w:val="000000"/>
                <w:kern w:val="0"/>
                <w:sz w:val="21"/>
                <w:szCs w:val="21"/>
                <w:highlight w:val="none"/>
                <w:u w:val="none"/>
                <w:lang w:val="en-US" w:eastAsia="zh-CN" w:bidi="ar"/>
              </w:rPr>
              <w:t>C100702169</w:t>
            </w:r>
          </w:p>
        </w:tc>
        <w:tc>
          <w:tcPr>
            <w:tcW w:w="2455" w:type="dxa"/>
            <w:vAlign w:val="center"/>
          </w:tcPr>
          <w:p w14:paraId="77BBA604">
            <w:pPr>
              <w:keepNext w:val="0"/>
              <w:keepLines w:val="0"/>
              <w:widowControl/>
              <w:suppressLineNumbers w:val="0"/>
              <w:jc w:val="left"/>
              <w:textAlignment w:val="center"/>
              <w:rPr>
                <w:rFonts w:hint="eastAsia" w:ascii="仿宋" w:hAnsi="仿宋" w:eastAsia="仿宋" w:cs="仿宋"/>
                <w:sz w:val="22"/>
                <w:szCs w:val="28"/>
                <w:highlight w:val="none"/>
              </w:rPr>
            </w:pPr>
            <w:r>
              <w:rPr>
                <w:rFonts w:hint="eastAsia" w:ascii="仿宋" w:hAnsi="仿宋" w:eastAsia="仿宋" w:cs="仿宋"/>
                <w:i w:val="0"/>
                <w:iCs w:val="0"/>
                <w:color w:val="222222"/>
                <w:kern w:val="0"/>
                <w:sz w:val="21"/>
                <w:szCs w:val="21"/>
                <w:highlight w:val="none"/>
                <w:u w:val="none"/>
                <w:lang w:val="en-US" w:eastAsia="zh-CN" w:bidi="ar"/>
              </w:rPr>
              <w:t>人工肝耗材，用于吸附血浆中的胆红素。</w:t>
            </w:r>
          </w:p>
        </w:tc>
        <w:tc>
          <w:tcPr>
            <w:tcW w:w="1656" w:type="dxa"/>
            <w:vAlign w:val="center"/>
          </w:tcPr>
          <w:p w14:paraId="0B85DA0B">
            <w:pPr>
              <w:keepNext w:val="0"/>
              <w:keepLines w:val="0"/>
              <w:widowControl/>
              <w:suppressLineNumbers w:val="0"/>
              <w:jc w:val="left"/>
              <w:textAlignment w:val="center"/>
              <w:rPr>
                <w:rFonts w:hint="default" w:ascii="仿宋" w:hAnsi="仿宋" w:eastAsia="仿宋" w:cs="仿宋"/>
                <w:sz w:val="22"/>
                <w:szCs w:val="28"/>
                <w:highlight w:val="none"/>
                <w:lang w:val="en-US" w:eastAsia="zh-CN"/>
              </w:rPr>
            </w:pPr>
          </w:p>
        </w:tc>
        <w:tc>
          <w:tcPr>
            <w:tcW w:w="1279" w:type="dxa"/>
            <w:vAlign w:val="center"/>
          </w:tcPr>
          <w:p w14:paraId="2BFF115E">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73C3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99" w:type="dxa"/>
            <w:vAlign w:val="center"/>
          </w:tcPr>
          <w:p w14:paraId="1984296D">
            <w:pPr>
              <w:pStyle w:val="11"/>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1158" w:type="dxa"/>
            <w:vAlign w:val="center"/>
          </w:tcPr>
          <w:p w14:paraId="43F2C5BF">
            <w:pPr>
              <w:keepNext w:val="0"/>
              <w:keepLines w:val="0"/>
              <w:widowControl/>
              <w:suppressLineNumbers w:val="0"/>
              <w:jc w:val="left"/>
              <w:textAlignment w:val="center"/>
              <w:rPr>
                <w:rFonts w:hint="default" w:ascii="仿宋" w:hAnsi="仿宋" w:eastAsia="仿宋" w:cs="仿宋"/>
                <w:sz w:val="22"/>
                <w:szCs w:val="28"/>
                <w:highlight w:val="none"/>
                <w:lang w:val="en-US" w:eastAsia="zh-CN"/>
              </w:rPr>
            </w:pPr>
            <w:r>
              <w:rPr>
                <w:rFonts w:hint="eastAsia" w:ascii="仿宋" w:hAnsi="仿宋" w:eastAsia="仿宋" w:cs="仿宋"/>
                <w:i w:val="0"/>
                <w:iCs w:val="0"/>
                <w:color w:val="000000"/>
                <w:kern w:val="0"/>
                <w:sz w:val="21"/>
                <w:szCs w:val="21"/>
                <w:highlight w:val="none"/>
                <w:u w:val="none"/>
                <w:lang w:val="en-US" w:eastAsia="zh-CN" w:bidi="ar"/>
              </w:rPr>
              <w:t>一次性使用血液灌流器</w:t>
            </w:r>
          </w:p>
        </w:tc>
        <w:tc>
          <w:tcPr>
            <w:tcW w:w="1375" w:type="dxa"/>
            <w:vAlign w:val="center"/>
          </w:tcPr>
          <w:p w14:paraId="79B702A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21"/>
                <w:szCs w:val="21"/>
                <w:highlight w:val="none"/>
                <w:u w:val="none"/>
                <w:lang w:val="en-US" w:eastAsia="zh-CN" w:bidi="ar"/>
              </w:rPr>
              <w:t>C100701169</w:t>
            </w:r>
          </w:p>
        </w:tc>
        <w:tc>
          <w:tcPr>
            <w:tcW w:w="2455" w:type="dxa"/>
            <w:vAlign w:val="center"/>
          </w:tcPr>
          <w:p w14:paraId="372A4ADD">
            <w:pPr>
              <w:keepNext w:val="0"/>
              <w:keepLines w:val="0"/>
              <w:widowControl/>
              <w:suppressLineNumbers w:val="0"/>
              <w:jc w:val="left"/>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222222"/>
                <w:kern w:val="0"/>
                <w:sz w:val="21"/>
                <w:szCs w:val="21"/>
                <w:highlight w:val="none"/>
                <w:u w:val="none"/>
                <w:lang w:val="en-US" w:eastAsia="zh-CN" w:bidi="ar"/>
              </w:rPr>
              <w:t>适用于急性药物或毒物中毒（如：农药中毒，蜂毒，蛇毒等）。</w:t>
            </w:r>
          </w:p>
        </w:tc>
        <w:tc>
          <w:tcPr>
            <w:tcW w:w="1656" w:type="dxa"/>
            <w:vAlign w:val="center"/>
          </w:tcPr>
          <w:p w14:paraId="1208A9CB">
            <w:pPr>
              <w:keepNext w:val="0"/>
              <w:keepLines w:val="0"/>
              <w:widowControl/>
              <w:suppressLineNumbers w:val="0"/>
              <w:jc w:val="left"/>
              <w:textAlignment w:val="center"/>
              <w:rPr>
                <w:rFonts w:hint="default" w:ascii="仿宋" w:hAnsi="仿宋" w:eastAsia="仿宋" w:cs="仿宋"/>
                <w:sz w:val="22"/>
                <w:szCs w:val="28"/>
                <w:highlight w:val="none"/>
                <w:lang w:val="en-US" w:eastAsia="zh-CN"/>
              </w:rPr>
            </w:pPr>
          </w:p>
        </w:tc>
        <w:tc>
          <w:tcPr>
            <w:tcW w:w="1279" w:type="dxa"/>
            <w:vAlign w:val="center"/>
          </w:tcPr>
          <w:p w14:paraId="1070AF34">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66265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99" w:type="dxa"/>
            <w:vAlign w:val="center"/>
          </w:tcPr>
          <w:p w14:paraId="4BE8F3A3">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w:t>
            </w:r>
          </w:p>
        </w:tc>
        <w:tc>
          <w:tcPr>
            <w:tcW w:w="1158" w:type="dxa"/>
            <w:vAlign w:val="center"/>
          </w:tcPr>
          <w:p w14:paraId="187A6588">
            <w:pPr>
              <w:keepNext w:val="0"/>
              <w:keepLines w:val="0"/>
              <w:widowControl/>
              <w:suppressLineNumbers w:val="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1"/>
                <w:szCs w:val="21"/>
                <w:highlight w:val="none"/>
                <w:u w:val="none"/>
                <w:lang w:val="en-US" w:eastAsia="zh-CN" w:bidi="ar"/>
              </w:rPr>
              <w:t>一次性使用血液灌流器</w:t>
            </w:r>
          </w:p>
        </w:tc>
        <w:tc>
          <w:tcPr>
            <w:tcW w:w="1375" w:type="dxa"/>
            <w:vAlign w:val="center"/>
          </w:tcPr>
          <w:p w14:paraId="28B3B2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1"/>
                <w:szCs w:val="21"/>
                <w:highlight w:val="none"/>
                <w:u w:val="none"/>
                <w:lang w:val="en-US" w:eastAsia="zh-CN" w:bidi="ar"/>
              </w:rPr>
              <w:t>C100701169</w:t>
            </w:r>
          </w:p>
        </w:tc>
        <w:tc>
          <w:tcPr>
            <w:tcW w:w="2455" w:type="dxa"/>
            <w:vAlign w:val="center"/>
          </w:tcPr>
          <w:p w14:paraId="04B6CC04">
            <w:pPr>
              <w:keepNext w:val="0"/>
              <w:keepLines w:val="0"/>
              <w:widowControl/>
              <w:suppressLineNumbers w:val="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222222"/>
                <w:kern w:val="0"/>
                <w:sz w:val="21"/>
                <w:szCs w:val="21"/>
                <w:highlight w:val="none"/>
                <w:u w:val="none"/>
                <w:lang w:val="en-US" w:eastAsia="zh-CN" w:bidi="ar"/>
              </w:rPr>
              <w:t>重症肝炎、特别是爆发性肝衰竭导致的肝性脑病、高胆红素血症、脓毒症或系统性炎症综合征、急慢性肝功能衰竭、顽固性胆汁淤积综合征，肝性脑病，药物性肝炎。</w:t>
            </w:r>
          </w:p>
        </w:tc>
        <w:tc>
          <w:tcPr>
            <w:tcW w:w="1656" w:type="dxa"/>
            <w:vAlign w:val="center"/>
          </w:tcPr>
          <w:p w14:paraId="0F69FAFA">
            <w:pPr>
              <w:keepNext w:val="0"/>
              <w:keepLines w:val="0"/>
              <w:widowControl/>
              <w:suppressLineNumbers w:val="0"/>
              <w:jc w:val="left"/>
              <w:textAlignment w:val="center"/>
              <w:rPr>
                <w:rFonts w:hint="eastAsia" w:ascii="仿宋" w:hAnsi="仿宋" w:eastAsia="仿宋" w:cs="仿宋"/>
                <w:sz w:val="24"/>
                <w:szCs w:val="24"/>
                <w:highlight w:val="none"/>
                <w:lang w:val="en-US" w:eastAsia="zh-CN"/>
              </w:rPr>
            </w:pPr>
          </w:p>
        </w:tc>
        <w:tc>
          <w:tcPr>
            <w:tcW w:w="1279" w:type="dxa"/>
            <w:vAlign w:val="center"/>
          </w:tcPr>
          <w:p w14:paraId="40F2E8BA">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047606E0">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3B2EFCD0">
      <w:pPr>
        <w:pStyle w:val="11"/>
        <w:jc w:val="left"/>
        <w:outlineLvl w:val="9"/>
        <w:rPr>
          <w:rFonts w:hint="eastAsia" w:ascii="仿宋" w:hAnsi="仿宋" w:eastAsia="仿宋" w:cs="仿宋"/>
          <w:b/>
          <w:sz w:val="28"/>
          <w:highlight w:val="none"/>
        </w:rPr>
      </w:pPr>
    </w:p>
    <w:p w14:paraId="14A79C1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543528B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16551CAC">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47972FC8">
      <w:pPr>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注：本项目中所指“挂网产品”，为“四川省药品和医用耗材招采管理系统”中已挂网产品（不含正在挂网和备案的产品）。</w:t>
      </w:r>
    </w:p>
    <w:p w14:paraId="78461F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40FC4C1F">
      <w:pPr>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2FA8921">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1D633DD4">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63BD4ED6">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06CE65D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4165354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1.交货期及地点</w:t>
      </w:r>
    </w:p>
    <w:p w14:paraId="6AB788D8">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CCA6C0F">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（2）交货地点：内江</w:t>
      </w:r>
      <w:r>
        <w:rPr>
          <w:rFonts w:hint="eastAsia" w:ascii="仿宋" w:hAnsi="仿宋" w:eastAsia="仿宋" w:cs="仿宋"/>
          <w:color w:val="000000"/>
          <w:kern w:val="0"/>
          <w:sz w:val="22"/>
          <w:szCs w:val="22"/>
          <w:highlight w:val="none"/>
          <w:u w:val="none"/>
          <w:lang w:val="en-US" w:eastAsia="zh-CN" w:bidi="ar"/>
        </w:rPr>
        <w:t>市第一人民医院指定地点。</w:t>
      </w:r>
    </w:p>
    <w:p w14:paraId="686B4A8D">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2.付款方法和条件</w:t>
      </w:r>
    </w:p>
    <w:p w14:paraId="7BB42DF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（1）结算方式：货款按实结算且由双方协商决定；</w:t>
      </w:r>
    </w:p>
    <w:p w14:paraId="51FEBBDE">
      <w:pPr>
        <w:ind w:firstLine="440" w:firstLineChars="20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2"/>
          <w:szCs w:val="22"/>
          <w:highlight w:val="none"/>
          <w:u w:val="none"/>
          <w:lang w:val="en-US" w:eastAsia="zh-CN" w:bidi="ar"/>
        </w:rPr>
        <w:t>（2）成交价格包含成本、运输、包装、培训、配送、伴随服务、税费及其他附加费用</w:t>
      </w:r>
      <w:r>
        <w:rPr>
          <w:rFonts w:hint="eastAsia" w:ascii="仿宋" w:hAnsi="仿宋" w:eastAsia="仿宋" w:cs="仿宋"/>
          <w:sz w:val="24"/>
          <w:szCs w:val="24"/>
          <w:highlight w:val="none"/>
          <w:lang w:val="en-US" w:eastAsia="zh-CN"/>
        </w:rPr>
        <w:t>。</w:t>
      </w:r>
    </w:p>
    <w:p w14:paraId="45D52C52">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3.医用耗材质量保证</w:t>
      </w:r>
    </w:p>
    <w:p w14:paraId="5176447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（1）成交供应商须提供原厂生产的未曾使用过的、全新的合格的货品（含配套配件等），表面无划伤、无破损痕迹，且权属清楚，不得侵害他人的合法权利；</w:t>
      </w:r>
    </w:p>
    <w:p w14:paraId="4AD8EE5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78C04C4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（3）成交供应商提供货品的设计技术专利、外形专利等均应符合我国有关法律法规及行业标准，凡因以上问题与第三方发生的任何纠纷均与采购人无关；</w:t>
      </w:r>
    </w:p>
    <w:p w14:paraId="43CEA6C7">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7AE6B5D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EE93DD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（6）成交供应商保证所供耗材有效期不低于1年，自通过最终验收之日起，确保采购人在使用耗材的过程中安全、有效。</w:t>
      </w:r>
    </w:p>
    <w:p w14:paraId="221C4354">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4.验收</w:t>
      </w:r>
    </w:p>
    <w:p w14:paraId="3299ABC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A294D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20CDC1A5">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12EF257">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5.售后服务</w:t>
      </w:r>
    </w:p>
    <w:p w14:paraId="5DDD31B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52DB22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（2）要求成交供应商指派专人负责与采购人联系售后服务事宜；在竞选文件中列明售后联系人及联系电话；</w:t>
      </w:r>
    </w:p>
    <w:p w14:paraId="6706657E">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5BCF1B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（4）耗材临近失效期，采购人提前三个月向成交供应商提出更换，成交供应商须在耗材失效前一个月更换完毕，不得以任何理由进行推诿；</w:t>
      </w:r>
    </w:p>
    <w:p w14:paraId="66265407">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（5）成交供应商必须随货提供其具备医疗器械经营企业的有关合法有效的手续（包括但不限于）：</w:t>
      </w:r>
    </w:p>
    <w:p w14:paraId="7BC6492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5.1产品所涉及逐级授权经销商的医疗器械生产（经营）许可证或生产（经营）企业备案表；</w:t>
      </w:r>
    </w:p>
    <w:p w14:paraId="7F2D8DF5">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5.2医疗器械产品注册证或备案凭证；</w:t>
      </w:r>
    </w:p>
    <w:p w14:paraId="4FC44FAF">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5.3医疗器械生产企业许可证；</w:t>
      </w:r>
    </w:p>
    <w:p w14:paraId="07B78D5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5.4经销商获得的委托授权书（逐级）；</w:t>
      </w:r>
    </w:p>
    <w:p w14:paraId="79FFCC8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5.5产品所涉及逐级授权经销商的企业法人营业执照。</w:t>
      </w:r>
    </w:p>
    <w:p w14:paraId="2B3BF77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5.6采购人要求提供的相关资料。</w:t>
      </w:r>
    </w:p>
    <w:p w14:paraId="6820C3C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5A32E7D0">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6.包装和运输 </w:t>
      </w:r>
    </w:p>
    <w:p w14:paraId="178FF46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70E7D81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0E85EF5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（3）本次采购的标的物需要运输，竞选人在合同约定的时间内将标的物运输至合同约定地点。</w:t>
      </w:r>
    </w:p>
    <w:p w14:paraId="0CCE2B5E">
      <w:pPr>
        <w:pStyle w:val="11"/>
        <w:jc w:val="left"/>
        <w:outlineLvl w:val="1"/>
        <w:rPr>
          <w:rFonts w:hint="eastAsia" w:ascii="仿宋" w:hAnsi="仿宋" w:eastAsia="仿宋" w:cs="仿宋"/>
          <w:highlight w:val="none"/>
        </w:rPr>
      </w:pPr>
      <w:r>
        <w:rPr>
          <w:rFonts w:hint="eastAsia" w:ascii="仿宋" w:hAnsi="仿宋" w:eastAsia="仿宋" w:cs="仿宋"/>
          <w:b/>
          <w:sz w:val="28"/>
          <w:highlight w:val="none"/>
        </w:rPr>
        <w:t>3.4.其他要求</w:t>
      </w:r>
    </w:p>
    <w:p w14:paraId="47F7455B">
      <w:pPr>
        <w:pStyle w:val="11"/>
        <w:ind w:firstLine="480" w:firstLineChars="0"/>
        <w:jc w:val="left"/>
        <w:outlineLvl w:val="2"/>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w:t>
      </w:r>
      <w:r>
        <w:rPr>
          <w:rFonts w:hint="default" w:ascii="仿宋" w:hAnsi="仿宋" w:eastAsia="仿宋" w:cs="仿宋"/>
          <w:b/>
          <w:bCs/>
          <w:sz w:val="24"/>
          <w:szCs w:val="24"/>
          <w:highlight w:val="none"/>
          <w:lang w:val="en-US" w:eastAsia="zh-CN"/>
        </w:rPr>
        <w:t>违约责任与解决争议的方法：</w:t>
      </w:r>
    </w:p>
    <w:p w14:paraId="69D31240">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2A62D95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（1）乙方逾期15日内不能提供甲方所需医用耗材的，应向甲方每日支付该批次货款千分之三的违约金。</w:t>
      </w:r>
    </w:p>
    <w:p w14:paraId="434F817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（2）乙方逾期15日及以上不能交付以上产品的，视同不能供货，须向甲方支付该批次货款的10%的违约金，同时甲方可以单方面解除本合同。</w:t>
      </w:r>
    </w:p>
    <w:p w14:paraId="376DA56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highlight w:val="none"/>
          <w:u w:val="none"/>
          <w:lang w:val="en-US" w:eastAsia="zh-CN" w:bidi="ar"/>
        </w:rPr>
        <w:t>，</w:t>
      </w:r>
      <w:r>
        <w:rPr>
          <w:rFonts w:hint="eastAsia" w:ascii="仿宋" w:hAnsi="仿宋" w:eastAsia="仿宋" w:cs="仿宋"/>
          <w:color w:val="000000"/>
          <w:kern w:val="0"/>
          <w:sz w:val="22"/>
          <w:szCs w:val="22"/>
          <w:highlight w:val="none"/>
          <w:u w:val="none"/>
          <w:lang w:val="en-US" w:eastAsia="zh-CN" w:bidi="ar"/>
        </w:rPr>
        <w:t>甲方有权要求乙方支付该批货物价款20%的违约金。</w:t>
      </w:r>
    </w:p>
    <w:p w14:paraId="1FE4957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0550A3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（5）若根据法律规定或本协议约定产生甲方退、换货或拒绝收货情形，由乙方承担退换货产生的各项税、费或其他支出。</w:t>
      </w:r>
    </w:p>
    <w:p w14:paraId="5532F54B">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（6）乙方不能保证及时供货，除应当向甲方承担违约责任外，甲方仍有权单方面解除本合同。</w:t>
      </w:r>
    </w:p>
    <w:p w14:paraId="1293DF8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（7）因乙方提供的产品不合格造成甲方或第三人人身损害或财产损失的，由乙方承担赔偿责任。</w:t>
      </w:r>
    </w:p>
    <w:p w14:paraId="1212D77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0C2F4D43">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1.2解决合同纠纷的方式</w:t>
      </w:r>
    </w:p>
    <w:p w14:paraId="693503B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7661FC19">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（2）合同履行期间，若双方发生争议，可协商或由有关部门调解解决，协商或调解不成的，可向甲方所在地人民法院依法提起诉讼。</w:t>
      </w:r>
    </w:p>
    <w:p w14:paraId="68275E0C">
      <w:pPr>
        <w:pStyle w:val="11"/>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5FE7BEF5">
      <w:pPr>
        <w:pStyle w:val="11"/>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07A626FD">
      <w:pPr>
        <w:pStyle w:val="11"/>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0B9C6CB4">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default"/>
          <w:lang w:val="en-US"/>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合同期限内，根据</w:t>
      </w:r>
      <w:r>
        <w:rPr>
          <w:rFonts w:hint="eastAsia" w:ascii="仿宋" w:hAnsi="仿宋" w:eastAsia="仿宋" w:cs="仿宋"/>
          <w:color w:val="000000"/>
          <w:kern w:val="0"/>
          <w:sz w:val="22"/>
          <w:szCs w:val="22"/>
          <w:highlight w:val="none"/>
          <w:u w:val="none"/>
          <w:lang w:val="en-US" w:eastAsia="zh-CN" w:bidi="ar"/>
        </w:rPr>
        <w:t>采购人</w:t>
      </w:r>
      <w:r>
        <w:rPr>
          <w:rFonts w:hint="default" w:ascii="仿宋" w:hAnsi="仿宋" w:eastAsia="仿宋" w:cs="仿宋"/>
          <w:color w:val="000000"/>
          <w:kern w:val="0"/>
          <w:sz w:val="22"/>
          <w:szCs w:val="22"/>
          <w:highlight w:val="none"/>
          <w:u w:val="none"/>
          <w:lang w:val="en-US" w:eastAsia="zh-CN" w:bidi="ar"/>
        </w:rPr>
        <w:t>要求分批次送货，完成送货、验收入库视为验收完成</w:t>
      </w:r>
      <w:r>
        <w:rPr>
          <w:rFonts w:hint="eastAsia" w:ascii="仿宋" w:hAnsi="仿宋" w:eastAsia="仿宋" w:cs="仿宋"/>
          <w:color w:val="000000"/>
          <w:kern w:val="0"/>
          <w:sz w:val="22"/>
          <w:szCs w:val="22"/>
          <w:highlight w:val="none"/>
          <w:u w:val="none"/>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AE81C26"/>
    <w:rsid w:val="0C3C461F"/>
    <w:rsid w:val="113C1EF6"/>
    <w:rsid w:val="13D16ECF"/>
    <w:rsid w:val="21546BE1"/>
    <w:rsid w:val="228700B2"/>
    <w:rsid w:val="26373D07"/>
    <w:rsid w:val="28B716E0"/>
    <w:rsid w:val="29C70D30"/>
    <w:rsid w:val="2BDA29B4"/>
    <w:rsid w:val="2E391AA6"/>
    <w:rsid w:val="2EB62D0A"/>
    <w:rsid w:val="32340DB8"/>
    <w:rsid w:val="33926786"/>
    <w:rsid w:val="363B42CB"/>
    <w:rsid w:val="3779021A"/>
    <w:rsid w:val="3CF76034"/>
    <w:rsid w:val="41926356"/>
    <w:rsid w:val="4285599A"/>
    <w:rsid w:val="49FC20A6"/>
    <w:rsid w:val="52706F89"/>
    <w:rsid w:val="58396BA4"/>
    <w:rsid w:val="5A2036AF"/>
    <w:rsid w:val="689867F4"/>
    <w:rsid w:val="6A477AC4"/>
    <w:rsid w:val="6DBF6C55"/>
    <w:rsid w:val="6EBE78D2"/>
    <w:rsid w:val="7135420A"/>
    <w:rsid w:val="71663DE2"/>
    <w:rsid w:val="71866F2D"/>
    <w:rsid w:val="72111FC3"/>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3">
    <w:name w:val="heading 2"/>
    <w:basedOn w:val="1"/>
    <w:next w:val="1"/>
    <w:link w:val="10"/>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napToGrid w:val="0"/>
      <w:spacing w:line="440" w:lineRule="exact"/>
    </w:pPr>
    <w:rPr>
      <w:rFonts w:ascii="Times New Roman" w:eastAsia="Times New Roman"/>
      <w:sz w:val="20"/>
    </w:rPr>
  </w:style>
  <w:style w:type="paragraph" w:styleId="6">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character" w:customStyle="1" w:styleId="9">
    <w:name w:val="标题 1 字符"/>
    <w:link w:val="2"/>
    <w:autoRedefine/>
    <w:qFormat/>
    <w:uiPriority w:val="0"/>
    <w:rPr>
      <w:rFonts w:ascii="Times New Roman" w:hAnsi="Times New Roman" w:eastAsia="方正仿宋_GB2312" w:cs="Times New Roman"/>
      <w:b/>
      <w:sz w:val="44"/>
      <w:szCs w:val="22"/>
    </w:rPr>
  </w:style>
  <w:style w:type="character" w:customStyle="1" w:styleId="10">
    <w:name w:val="标题 2 Char"/>
    <w:link w:val="3"/>
    <w:qFormat/>
    <w:uiPriority w:val="0"/>
    <w:rPr>
      <w:rFonts w:ascii="Arial" w:hAnsi="Arial" w:eastAsia="汉仪粗仿宋简" w:cs="Times New Roman"/>
      <w:b/>
      <w:bCs/>
      <w:sz w:val="44"/>
      <w:szCs w:val="32"/>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3893</Words>
  <Characters>3996</Characters>
  <Lines>0</Lines>
  <Paragraphs>0</Paragraphs>
  <TotalTime>18</TotalTime>
  <ScaleCrop>false</ScaleCrop>
  <LinksUpToDate>false</LinksUpToDate>
  <CharactersWithSpaces>4003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郑yueJun</cp:lastModifiedBy>
  <dcterms:modified xsi:type="dcterms:W3CDTF">2025-02-27T08:43:43Z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744CCCFBECF4425FB9D1F16676E9646C_13</vt:lpwstr>
  </property>
  <property fmtid="{D5CDD505-2E9C-101B-9397-08002B2CF9AE}" pid="4" name="KSOTemplateDocerSaveRecord">
    <vt:lpwstr>eyJoZGlkIjoiNjAyZDQ3Y2UxOGE2MzI4YzVlYWRkMmU4Y2EyOTI0MzciLCJ1c2VySWQiOiIzOTkxODg3MjYifQ==</vt:lpwstr>
  </property>
</Properties>
</file>