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53E6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kinsoku/>
        <w:autoSpaceDE/>
        <w:autoSpaceDN/>
        <w:adjustRightInd/>
        <w:snapToGrid/>
        <w:spacing w:before="0" w:beforeLines="0" w:beforeAutospacing="0" w:after="0" w:afterLines="0" w:afterAutospacing="0" w:line="360" w:lineRule="auto"/>
        <w:ind w:right="0"/>
        <w:jc w:val="center"/>
        <w:textAlignment w:val="auto"/>
        <w:rPr>
          <w:rFonts w:hint="default" w:ascii="仿宋" w:hAnsi="仿宋" w:eastAsia="仿宋" w:cs="仿宋"/>
          <w:b/>
          <w:bCs/>
          <w:snapToGrid/>
          <w:color w:val="auto"/>
          <w:kern w:val="2"/>
          <w:sz w:val="32"/>
          <w:szCs w:val="32"/>
          <w:highlight w:val="none"/>
          <w:shd w:val="clear" w:color="auto" w:fill="auto"/>
          <w:lang w:val="en-US" w:eastAsia="zh-CN" w:bidi="ar-SA"/>
        </w:rPr>
      </w:pPr>
      <w:bookmarkStart w:id="0" w:name="_GoBack"/>
      <w:bookmarkEnd w:id="0"/>
      <w:r>
        <w:rPr>
          <w:rFonts w:hint="eastAsia" w:ascii="仿宋" w:hAnsi="仿宋" w:eastAsia="仿宋" w:cs="仿宋"/>
          <w:b/>
          <w:bCs/>
          <w:snapToGrid/>
          <w:color w:val="auto"/>
          <w:kern w:val="2"/>
          <w:sz w:val="32"/>
          <w:szCs w:val="32"/>
          <w:highlight w:val="none"/>
          <w:shd w:val="clear" w:color="auto" w:fill="auto"/>
          <w:lang w:val="en-US" w:eastAsia="zh-CN" w:bidi="ar-SA"/>
        </w:rPr>
        <w:t>采购需求</w:t>
      </w:r>
    </w:p>
    <w:p w14:paraId="2DFEA6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须知：1.本部分标注“★”的条款为本项目的实质性条款，竞选人不满足的，将按照无效响应处理；标注“▲”的为重要条款，得分占比相较一般条款更高；未标注条款为一般条款。</w:t>
      </w:r>
    </w:p>
    <w:p w14:paraId="23E21E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2.技术要求条款均为条目式，参数设置请客观明确，参与评分的指标应当是采购需求中的量化指标，评分项应当按照量化指标的等次，设置对应的不同分值。不能完全确定客观指标，需由竞选人提供设计方案、解决方案或者组织方案的采购项目。</w:t>
      </w:r>
    </w:p>
    <w:p w14:paraId="6D8B9BC6">
      <w:pPr>
        <w:keepNext w:val="0"/>
        <w:keepLines w:val="0"/>
        <w:pageBreakBefore w:val="0"/>
        <w:wordWrap/>
        <w:overflowPunct/>
        <w:topLinePunct w:val="0"/>
        <w:bidi w:val="0"/>
        <w:spacing w:before="0" w:beforeLines="0" w:after="0" w:afterLines="0" w:line="240" w:lineRule="auto"/>
        <w:ind w:firstLine="480" w:firstLineChars="200"/>
        <w:jc w:val="left"/>
        <w:outlineLvl w:val="1"/>
        <w:rPr>
          <w:rFonts w:hint="eastAsia" w:ascii="仿宋" w:hAnsi="仿宋" w:eastAsia="仿宋" w:cs="仿宋"/>
          <w:sz w:val="24"/>
          <w:szCs w:val="24"/>
          <w:highlight w:val="none"/>
          <w:lang w:val="en-US" w:eastAsia="zh-CN"/>
        </w:rPr>
      </w:pPr>
      <w:r>
        <w:rPr>
          <w:rFonts w:hint="eastAsia" w:ascii="仿宋" w:hAnsi="仿宋" w:eastAsia="仿宋" w:cs="仿宋"/>
          <w:b/>
          <w:sz w:val="24"/>
          <w:szCs w:val="24"/>
          <w:highlight w:val="none"/>
          <w:lang w:val="en-US" w:eastAsia="zh-Hans"/>
        </w:rPr>
        <w:t>3.1.</w:t>
      </w:r>
      <w:r>
        <w:rPr>
          <w:rFonts w:hint="eastAsia" w:ascii="仿宋" w:hAnsi="仿宋" w:eastAsia="仿宋" w:cs="仿宋"/>
          <w:b/>
          <w:sz w:val="24"/>
          <w:szCs w:val="24"/>
          <w:highlight w:val="none"/>
          <w:lang w:val="en-US" w:eastAsia="zh-CN"/>
        </w:rPr>
        <w:t>标的情况</w:t>
      </w:r>
    </w:p>
    <w:p w14:paraId="6CE153A3">
      <w:pPr>
        <w:keepNext w:val="0"/>
        <w:keepLines w:val="0"/>
        <w:pageBreakBefore w:val="0"/>
        <w:wordWrap/>
        <w:overflowPunct/>
        <w:topLinePunct w:val="0"/>
        <w:bidi w:val="0"/>
        <w:spacing w:before="0" w:beforeLines="0" w:after="0" w:afterLines="0" w:line="240" w:lineRule="auto"/>
        <w:ind w:firstLine="480" w:firstLineChars="200"/>
        <w:jc w:val="left"/>
        <w:outlineLvl w:val="2"/>
        <w:rPr>
          <w:rFonts w:hint="eastAsia" w:ascii="仿宋" w:hAnsi="仿宋" w:eastAsia="仿宋" w:cs="仿宋"/>
          <w:b/>
          <w:bCs/>
          <w:i w:val="0"/>
          <w:iCs w:val="0"/>
          <w:sz w:val="24"/>
          <w:szCs w:val="24"/>
          <w:lang w:val="en-US" w:eastAsia="zh-Hans"/>
        </w:rPr>
      </w:pPr>
      <w:r>
        <w:rPr>
          <w:rFonts w:hint="eastAsia" w:ascii="仿宋" w:hAnsi="仿宋" w:eastAsia="仿宋" w:cs="仿宋"/>
          <w:b/>
          <w:bCs/>
          <w:i w:val="0"/>
          <w:iCs w:val="0"/>
          <w:sz w:val="24"/>
          <w:szCs w:val="24"/>
          <w:lang w:val="en-US" w:eastAsia="zh-Hans"/>
        </w:rPr>
        <w:t>采购包1：</w:t>
      </w:r>
    </w:p>
    <w:tbl>
      <w:tblPr>
        <w:tblStyle w:val="2"/>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93"/>
        <w:gridCol w:w="624"/>
        <w:gridCol w:w="1834"/>
        <w:gridCol w:w="1537"/>
        <w:gridCol w:w="768"/>
        <w:gridCol w:w="1293"/>
        <w:gridCol w:w="1404"/>
        <w:gridCol w:w="1275"/>
      </w:tblGrid>
      <w:tr w14:paraId="715BF2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30" w:hRule="atLeast"/>
          <w:jc w:val="center"/>
        </w:trPr>
        <w:tc>
          <w:tcPr>
            <w:tcW w:w="267" w:type="pct"/>
            <w:tcBorders>
              <w:bottom w:val="single" w:color="auto" w:sz="4" w:space="0"/>
            </w:tcBorders>
            <w:vAlign w:val="center"/>
          </w:tcPr>
          <w:p w14:paraId="0C4621CC">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包号</w:t>
            </w:r>
          </w:p>
        </w:tc>
        <w:tc>
          <w:tcPr>
            <w:tcW w:w="338" w:type="pct"/>
            <w:vAlign w:val="center"/>
          </w:tcPr>
          <w:p w14:paraId="15C4AF4C">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编号</w:t>
            </w:r>
          </w:p>
        </w:tc>
        <w:tc>
          <w:tcPr>
            <w:tcW w:w="993" w:type="pct"/>
            <w:vAlign w:val="center"/>
          </w:tcPr>
          <w:p w14:paraId="7598D8E5">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标的名称</w:t>
            </w:r>
          </w:p>
        </w:tc>
        <w:tc>
          <w:tcPr>
            <w:tcW w:w="832" w:type="pct"/>
            <w:vAlign w:val="center"/>
          </w:tcPr>
          <w:p w14:paraId="79722A69">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单价（元）</w:t>
            </w:r>
          </w:p>
        </w:tc>
        <w:tc>
          <w:tcPr>
            <w:tcW w:w="416" w:type="pct"/>
            <w:vAlign w:val="center"/>
          </w:tcPr>
          <w:p w14:paraId="6048B0DF">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数量</w:t>
            </w:r>
          </w:p>
        </w:tc>
        <w:tc>
          <w:tcPr>
            <w:tcW w:w="700" w:type="pct"/>
            <w:vAlign w:val="center"/>
          </w:tcPr>
          <w:p w14:paraId="6A7F0717">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计量单位</w:t>
            </w:r>
          </w:p>
        </w:tc>
        <w:tc>
          <w:tcPr>
            <w:tcW w:w="760" w:type="pct"/>
            <w:vAlign w:val="center"/>
          </w:tcPr>
          <w:p w14:paraId="62DF31EB">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预算金额（元）</w:t>
            </w:r>
          </w:p>
        </w:tc>
        <w:tc>
          <w:tcPr>
            <w:tcW w:w="690" w:type="pct"/>
            <w:vAlign w:val="center"/>
          </w:tcPr>
          <w:p w14:paraId="47CD01BE">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最高限价 （元）</w:t>
            </w:r>
          </w:p>
        </w:tc>
      </w:tr>
      <w:tr w14:paraId="5FB019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1" w:hRule="atLeast"/>
          <w:jc w:val="center"/>
        </w:trPr>
        <w:tc>
          <w:tcPr>
            <w:tcW w:w="267" w:type="pct"/>
            <w:tcBorders>
              <w:top w:val="single" w:color="auto" w:sz="4" w:space="0"/>
              <w:left w:val="single" w:color="auto" w:sz="4" w:space="0"/>
              <w:bottom w:val="single" w:color="auto" w:sz="4" w:space="0"/>
              <w:right w:val="single" w:color="auto" w:sz="4" w:space="0"/>
            </w:tcBorders>
            <w:vAlign w:val="center"/>
          </w:tcPr>
          <w:p w14:paraId="6628265E">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w:t>
            </w:r>
          </w:p>
        </w:tc>
        <w:tc>
          <w:tcPr>
            <w:tcW w:w="338" w:type="pct"/>
            <w:tcBorders>
              <w:left w:val="single" w:color="auto" w:sz="4" w:space="0"/>
            </w:tcBorders>
            <w:vAlign w:val="center"/>
          </w:tcPr>
          <w:p w14:paraId="7397EA51">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b w:val="0"/>
                <w:bCs w:val="0"/>
                <w:color w:val="auto"/>
                <w:kern w:val="2"/>
                <w:sz w:val="24"/>
                <w:szCs w:val="24"/>
                <w:highlight w:val="none"/>
                <w:shd w:val="clear" w:color="auto" w:fill="auto"/>
                <w:lang w:val="en-US" w:eastAsia="zh-CN" w:bidi="ar-SA"/>
              </w:rPr>
              <w:t>1-1</w:t>
            </w:r>
          </w:p>
        </w:tc>
        <w:tc>
          <w:tcPr>
            <w:tcW w:w="993" w:type="pct"/>
            <w:tcBorders>
              <w:left w:val="single" w:color="auto" w:sz="4" w:space="0"/>
            </w:tcBorders>
            <w:vAlign w:val="center"/>
          </w:tcPr>
          <w:p w14:paraId="491220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内控制度体系建设服务</w:t>
            </w:r>
          </w:p>
        </w:tc>
        <w:tc>
          <w:tcPr>
            <w:tcW w:w="832" w:type="pct"/>
            <w:vAlign w:val="center"/>
          </w:tcPr>
          <w:p w14:paraId="23547A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75000.00</w:t>
            </w:r>
          </w:p>
        </w:tc>
        <w:tc>
          <w:tcPr>
            <w:tcW w:w="416" w:type="pct"/>
            <w:vAlign w:val="center"/>
          </w:tcPr>
          <w:p w14:paraId="64A33D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b w:val="0"/>
                <w:bCs w:val="0"/>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1</w:t>
            </w:r>
          </w:p>
        </w:tc>
        <w:tc>
          <w:tcPr>
            <w:tcW w:w="700" w:type="pct"/>
            <w:vAlign w:val="center"/>
          </w:tcPr>
          <w:p w14:paraId="447480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项</w:t>
            </w:r>
          </w:p>
        </w:tc>
        <w:tc>
          <w:tcPr>
            <w:tcW w:w="760" w:type="pct"/>
            <w:vAlign w:val="center"/>
          </w:tcPr>
          <w:p w14:paraId="6295DE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u w:val="none"/>
                <w:shd w:val="clear" w:color="auto" w:fill="auto"/>
                <w:lang w:val="en-US" w:eastAsia="zh-CN" w:bidi="ar-SA"/>
              </w:rPr>
              <w:t>200000.00</w:t>
            </w:r>
          </w:p>
        </w:tc>
        <w:tc>
          <w:tcPr>
            <w:tcW w:w="690" w:type="pct"/>
            <w:vAlign w:val="center"/>
          </w:tcPr>
          <w:p w14:paraId="4E92C7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b w:val="0"/>
                <w:bCs w:val="0"/>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75000.00</w:t>
            </w:r>
          </w:p>
        </w:tc>
      </w:tr>
    </w:tbl>
    <w:p w14:paraId="0019E988">
      <w:pPr>
        <w:keepNext w:val="0"/>
        <w:keepLines w:val="0"/>
        <w:pageBreakBefore w:val="0"/>
        <w:wordWrap/>
        <w:overflowPunct/>
        <w:topLinePunct w:val="0"/>
        <w:bidi w:val="0"/>
        <w:spacing w:before="0" w:beforeLines="0" w:after="0" w:afterLines="0" w:line="240" w:lineRule="auto"/>
        <w:ind w:firstLine="480" w:firstLineChars="200"/>
        <w:jc w:val="left"/>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r>
        <w:rPr>
          <w:rFonts w:hint="eastAsia" w:ascii="仿宋" w:hAnsi="仿宋" w:eastAsia="仿宋" w:cs="仿宋"/>
          <w:b/>
          <w:sz w:val="24"/>
          <w:szCs w:val="24"/>
          <w:lang w:val="en-US" w:eastAsia="zh-Hans"/>
        </w:rPr>
        <w:t>3.2.技术要求</w:t>
      </w:r>
    </w:p>
    <w:p w14:paraId="35E54AC1">
      <w:pPr>
        <w:keepNext w:val="0"/>
        <w:keepLines w:val="0"/>
        <w:pageBreakBefore w:val="0"/>
        <w:wordWrap/>
        <w:overflowPunct/>
        <w:topLinePunct w:val="0"/>
        <w:bidi w:val="0"/>
        <w:spacing w:before="0" w:beforeLines="0" w:after="0" w:afterLines="0" w:line="240" w:lineRule="auto"/>
        <w:ind w:firstLine="480" w:firstLineChars="200"/>
        <w:jc w:val="left"/>
        <w:outlineLvl w:val="2"/>
        <w:rPr>
          <w:rFonts w:hint="eastAsia" w:ascii="仿宋" w:hAnsi="仿宋" w:eastAsia="仿宋" w:cs="仿宋"/>
          <w:b/>
          <w:bCs/>
          <w:sz w:val="24"/>
          <w:szCs w:val="24"/>
          <w:lang w:val="en-US" w:eastAsia="zh-Hans"/>
        </w:rPr>
      </w:pPr>
      <w:r>
        <w:rPr>
          <w:rFonts w:hint="eastAsia" w:ascii="仿宋" w:hAnsi="仿宋" w:eastAsia="仿宋" w:cs="仿宋"/>
          <w:b/>
          <w:bCs/>
          <w:sz w:val="24"/>
          <w:szCs w:val="24"/>
          <w:lang w:val="en-US" w:eastAsia="zh-Hans"/>
        </w:rPr>
        <w:t>采购包1：</w:t>
      </w:r>
    </w:p>
    <w:p w14:paraId="42CA1B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240" w:lineRule="auto"/>
        <w:ind w:left="0" w:right="0" w:firstLine="480" w:firstLineChars="200"/>
        <w:jc w:val="left"/>
        <w:textAlignment w:val="auto"/>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b/>
          <w:bCs/>
          <w:snapToGrid/>
          <w:color w:val="auto"/>
          <w:kern w:val="2"/>
          <w:sz w:val="24"/>
          <w:szCs w:val="24"/>
          <w:highlight w:val="none"/>
          <w:shd w:val="clear" w:color="auto" w:fill="auto"/>
          <w:lang w:val="en-US" w:eastAsia="zh-CN" w:bidi="ar-SA"/>
        </w:rPr>
        <w:t>★一、采购内容</w:t>
      </w:r>
    </w:p>
    <w:p w14:paraId="3D842661">
      <w:pPr>
        <w:keepNext w:val="0"/>
        <w:keepLines w:val="0"/>
        <w:pageBreakBefore w:val="0"/>
        <w:widowControl/>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竞选人需安排项目负责人与采购人进行对接，并按照采购人要求安排人员在规定时间内(6个月)完成医院内部控制建设工作。</w:t>
      </w:r>
    </w:p>
    <w:p w14:paraId="0E1FCE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1）举办内控专题培训。根据财政部门内控建设要求、医院内控体系建设要点及医院情况，提供医院内部控制体系建设专题培训。针对诊断出的医院内控建设中存在的问题，以及解决办法进行培训讲解，帮助医院改进完善。现场培训不少于1次。</w:t>
      </w:r>
    </w:p>
    <w:p w14:paraId="503B79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2）梳理、评估医院内控建设及执行情况过程中，以集体座谈、与单位分管领导和部门主要负责人、业务经办人座谈等形式开展谈话调研，充分听取各级各类人员意见建议，并对其进行内控建设相关的辅导和沟通。专家讨论、沟通会可分科室进行，也可集中进行。</w:t>
      </w:r>
    </w:p>
    <w:p w14:paraId="41AFBD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3）制定优化方案。基于医院内部控制风险评估报告，结合医院实际，应用内控建设原理，围绕监督检查要求梳理检查响应材料缺少清单，并配合采购人设计切实可行的分步优化方案，提出书面管理意见及建议，对存在的问题提出整改建议和措施，并为逐步实施内部控制信息化建设提出可行性建议方案。</w:t>
      </w:r>
    </w:p>
    <w:p w14:paraId="5CD871B0">
      <w:pPr>
        <w:keepNext w:val="0"/>
        <w:keepLines w:val="0"/>
        <w:pageBreakBefore w:val="0"/>
        <w:wordWrap/>
        <w:overflowPunct/>
        <w:topLinePunct w:val="0"/>
        <w:bidi w:val="0"/>
        <w:spacing w:before="0" w:beforeLines="0" w:after="0" w:afterLines="0" w:line="240" w:lineRule="auto"/>
        <w:ind w:firstLine="480" w:firstLineChars="200"/>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kern w:val="2"/>
          <w:sz w:val="24"/>
          <w:szCs w:val="24"/>
          <w:highlight w:val="none"/>
          <w:lang w:val="en-US" w:eastAsia="zh-CN" w:bidi="ar-SA"/>
        </w:rPr>
        <w:t>（4）分步优化制度。基于制度解读结果及医院内部管控需求，选择风险应对策略，形成多层面、多方位、灵活的管控机制。修订的管理制度须与各业务科室反复沟通、确认后定稿，形成内控制度。</w:t>
      </w:r>
    </w:p>
    <w:p w14:paraId="5DF9F08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（5）流程梳理再造。根据医院业务层面制度梳理出各项活动的流程，并结合医院实际执行情况绘制单位业务流程图。修订的业务流程图须与各业务科室反复沟通、确认后定稿。</w:t>
      </w:r>
    </w:p>
    <w:p w14:paraId="0115E70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6）表单绘制及优化。在现有管理制度、业务流程下，收集医院现行的各项表单，修订完善补充各个业务的表单样式，形成一套覆盖全套业务层面内控建设内容可执行的表单体系，确保各表单符合内控管理要求，为下一步实行信息系统流程建设奠定坚实基础。修订的业务表单须与各业务科室反复沟通、确认后定稿。</w:t>
      </w:r>
    </w:p>
    <w:p w14:paraId="51622A5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7）形成内控手册征求意见稿。内控手册内容至少包括管理组织、岗位责任、业务制度、业务流程图、业务表单、业务风险点评估、评价与监督等，覆盖国卫财务发〔2020〕31号文件规定的所有内容。内控手册所有内容要求设计科学、合理，符合内控管理的决策、执行、监督三权分立、不相容岗位相互分离等内控管理要求。内控手册征求意见稿涉及各科室业务内容须与各科室充分沟通并由各科室审核通过，整个内控手册征求意见稿须经财务部逐项审核、确认已经各业务科室审核通过且无违背内控管理原则性要求之后方可定稿。</w:t>
      </w:r>
    </w:p>
    <w:p w14:paraId="0C639DE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（8）根据与单位沟通确认的修改意见，形成《内江市第一人民医院内部控制制度汇编》和《内江市第一人民医院内部控制手册及流程汇编》终稿。</w:t>
      </w:r>
    </w:p>
    <w:p w14:paraId="697DC89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b/>
          <w:bCs/>
          <w:snapToGrid/>
          <w:color w:val="auto"/>
          <w:kern w:val="2"/>
          <w:sz w:val="24"/>
          <w:szCs w:val="24"/>
          <w:highlight w:val="none"/>
          <w:shd w:val="clear" w:color="auto" w:fill="auto"/>
          <w:lang w:val="en-US" w:eastAsia="zh-CN" w:bidi="ar-SA"/>
        </w:rPr>
        <w:t>★二、技术要求</w:t>
      </w:r>
    </w:p>
    <w:p w14:paraId="6EC8C113">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一）根据国家卫健委《公立医院内部控制管理办法》国卫财务发〔2020〕31号第十九条、第二十条的要求，全面、系统、客观地识别、分析本院经济活动及相关业务活动存在的风险，确定相应的风险承受度及风险应对策略并出具风险评估报告。</w:t>
      </w:r>
    </w:p>
    <w:p w14:paraId="1F33E53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二）按照《公立医院内部控制管理办法》（国卫财务发[2020]31号）第四十九条的要求，对医院内部控制建立和实施的有效性进行评价并按《公立医院内部控制管理办法》（国卫财务发[2020]31号）第五十条的要求出具内部控制评价报告。</w:t>
      </w:r>
    </w:p>
    <w:p w14:paraId="7B985170">
      <w:pPr>
        <w:keepNext w:val="0"/>
        <w:keepLines w:val="0"/>
        <w:pageBreakBefore w:val="0"/>
        <w:wordWrap/>
        <w:overflowPunct/>
        <w:topLinePunct w:val="0"/>
        <w:bidi w:val="0"/>
        <w:spacing w:before="0" w:beforeLines="0" w:after="0" w:afterLines="0" w:line="240" w:lineRule="auto"/>
        <w:ind w:firstLine="480" w:firstLineChars="200"/>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三）根据《关于印发&lt;关于进一步加强公立医院内部控制建设的指导意见&gt;的通知》（财会〔2023〕31号）文件精神、《公立医院内部控制管理办法》的规定，帮助医院建立全面、系统、科学、有效的内部控制体系，确保医院内部控制建设形成合规和有效的内控机制，形成《内江市第一人民医院内部控制手册》（最终稿）：一是制度建设，按《公立医院内部控制管理办法》、根据基础性评价工作结果，对医院十二大业务进行制度的制定、完善和修订，形成《内江市第一人民医院内部控制制度汇编》；二是流程建设，对医院的十二大经济业务的相关流程进行梳理和完善，并绘制流程图，形成《内江市第一人民医院内部控制手册流程汇编》；三是其他，包括但不限于对表单、管理台账等进行设计或完善。具体服务内容包括但不限于：</w:t>
      </w:r>
    </w:p>
    <w:p w14:paraId="4E44F81B">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1.单位层面内部控制建设：包括单位决策机制，内部管理机构设置及职责分工，决策和执行的制衡机制；内部管理制度的健全；关键岗位管理等。</w:t>
      </w:r>
    </w:p>
    <w:p w14:paraId="346473D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2.业务层面内部控制建设：建立健全各业务活动的管理制度和业务流程规范，包括：预算管理、收支业务管理、采购业务管理、资产管理、建设项目管理、合同管理、医疗业务管理、科研项目和临床试验项目管理、教学管理、信息系统管理、互联网诊疗管理、医联体管理十二大业务活动合规性和有效性建设。其中：</w:t>
      </w:r>
    </w:p>
    <w:p w14:paraId="541D8C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b/>
          <w:bCs/>
          <w:snapToGrid/>
          <w:color w:val="auto"/>
          <w:kern w:val="2"/>
          <w:sz w:val="24"/>
          <w:szCs w:val="24"/>
          <w:highlight w:val="none"/>
          <w:shd w:val="clear" w:color="auto" w:fill="auto"/>
          <w:lang w:val="en-US" w:eastAsia="zh-CN" w:bidi="ar-SA"/>
        </w:rPr>
        <w:t>采购部</w:t>
      </w:r>
    </w:p>
    <w:p w14:paraId="2314F11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1、采购管理</w:t>
      </w:r>
    </w:p>
    <w:p w14:paraId="22C747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1.1明确各部门职能职责，实现采购业务归口管理。</w:t>
      </w:r>
    </w:p>
    <w:p w14:paraId="5DB1B07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1.2按照预算和计划组织采购业务。</w:t>
      </w:r>
    </w:p>
    <w:p w14:paraId="6B0365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1.3按照规定组织采购活动和执行验收程序。</w:t>
      </w:r>
    </w:p>
    <w:p w14:paraId="73E3E3C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1.4按照规定保管采购业务相关档案等。</w:t>
      </w:r>
    </w:p>
    <w:p w14:paraId="5A2AE49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2、建立政府采购管理制度、自行采购管理制度</w:t>
      </w:r>
    </w:p>
    <w:p w14:paraId="2703FF9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2.1明确采购管理内部控制的决策、管理、执行、监督机构的职责。</w:t>
      </w:r>
    </w:p>
    <w:p w14:paraId="458CA1A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2.2明确采购管理各业务环节的管理要求。</w:t>
      </w:r>
    </w:p>
    <w:p w14:paraId="2DF66E6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3、采购管理流程梳理及流程图编制情况</w:t>
      </w:r>
    </w:p>
    <w:p w14:paraId="13DD2F6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3.1编制采购管理各关键业务流程图。</w:t>
      </w:r>
    </w:p>
    <w:p w14:paraId="1FE099B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3.2编制采购管理各关键业务流程图的流程说明。</w:t>
      </w:r>
    </w:p>
    <w:p w14:paraId="7D26ED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3.3管理各关键业务流程图、流程说明需体现与本领域及其他领域之间的流程衔接关系。</w:t>
      </w:r>
    </w:p>
    <w:p w14:paraId="2D9A50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4、编制采购管理关键流程一致性情况。</w:t>
      </w:r>
    </w:p>
    <w:p w14:paraId="292735D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5、采购风险控制</w:t>
      </w:r>
    </w:p>
    <w:p w14:paraId="32077FE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5.1分离不相容岗位，明确岗位及人员。</w:t>
      </w:r>
    </w:p>
    <w:p w14:paraId="01DE8E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5.2其他。</w:t>
      </w:r>
    </w:p>
    <w:p w14:paraId="45EDDF46">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科教科</w:t>
      </w:r>
    </w:p>
    <w:p w14:paraId="4F73E3C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根据国家卫健委《公立医院内部控制管理办法》第二十条、二十八条、三十五条、三十六条规定，对以下方面工作、现行管理制度进行评估，并帮助建立合理可行的相关管理制度和机制：</w:t>
      </w:r>
    </w:p>
    <w:p w14:paraId="69C4F49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1、科研项目立项论证和立项管理规定是否合理，明确科研合作单位资质要求，帮助建立合理可行的科研项目监督机制。</w:t>
      </w:r>
    </w:p>
    <w:p w14:paraId="6F51E4F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2、科技奖励范围、权重是否合理。</w:t>
      </w:r>
    </w:p>
    <w:p w14:paraId="07D72DA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3、帮助建立合理可行的住培、教学监督机制；住培、教学师资教学补助标准是否合理。</w:t>
      </w:r>
    </w:p>
    <w:p w14:paraId="2CF3C9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4、职工外出参会培训审批流程、频次规定、考核方法等是否合理，是否与医院经济现状和高质量发展需求相适应。</w:t>
      </w:r>
    </w:p>
    <w:p w14:paraId="205B043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5、评估现行进修收费标准是否合理；</w:t>
      </w:r>
    </w:p>
    <w:p w14:paraId="175CFB9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6、评估康复治疗师规范化培训是否必要，学员生活补助、师资带教补助标准是否合理；</w:t>
      </w:r>
    </w:p>
    <w:p w14:paraId="7E64D81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7、评估牵头部分的预算编制部分是否合理；</w:t>
      </w:r>
    </w:p>
    <w:p w14:paraId="4C35F1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8、帮助评估现有信息系统是否能满足工作需要。</w:t>
      </w:r>
    </w:p>
    <w:p w14:paraId="0A0B01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财务科</w:t>
      </w:r>
    </w:p>
    <w:p w14:paraId="3599126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1、政府会计制度改革</w:t>
      </w:r>
    </w:p>
    <w:p w14:paraId="27E52B5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1.1是否有效执行政府会计准则制度。</w:t>
      </w:r>
    </w:p>
    <w:p w14:paraId="18AA21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1.2是否按照政府会计准则制度要求开展预算会计核算和财务会计核算。</w:t>
      </w:r>
    </w:p>
    <w:p w14:paraId="4C4A9F1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1.3是否对固定资产和无形资产计提折旧或摊销。</w:t>
      </w:r>
    </w:p>
    <w:p w14:paraId="02A240B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1.4本年编制政府部门财务报告时，部门及所属单位之间发生的经济业务或事项是否在抵销前进行确认。</w:t>
      </w:r>
    </w:p>
    <w:p w14:paraId="3C3F500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1.5是否将基本建设投资、公共基础设施、保障性住房、政府储备物资、国有文物文化资产等纳入统一账簿进行会计核算。</w:t>
      </w:r>
    </w:p>
    <w:p w14:paraId="281A683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2、预算管理</w:t>
      </w:r>
    </w:p>
    <w:p w14:paraId="43C917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2.1不相容岗位是否分离，是否明确了岗位及人员，且两个岗位为不同的人员。如：预算编制与审核；预算审批与执行；预算执行与分析；决算编制与审核。</w:t>
      </w:r>
    </w:p>
    <w:p w14:paraId="684F02F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2.2预算管理制度。</w:t>
      </w:r>
    </w:p>
    <w:p w14:paraId="1B599E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2.3预算管理流程梳理及流程图编制情况。</w:t>
      </w:r>
    </w:p>
    <w:p w14:paraId="1301662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2.3.1关键业务流程图和流程说明。</w:t>
      </w:r>
    </w:p>
    <w:p w14:paraId="7052696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2.3.1.1项目申报及审批流程。</w:t>
      </w:r>
    </w:p>
    <w:p w14:paraId="29C17E3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2.3.1.2部门三年规划编制及审批流程。</w:t>
      </w:r>
    </w:p>
    <w:p w14:paraId="3E0B0E7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2.3.1.3收入预算编制及审批流程。</w:t>
      </w:r>
    </w:p>
    <w:p w14:paraId="108928B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2.3.1.4基本支出预算编制及审批流程。</w:t>
      </w:r>
    </w:p>
    <w:p w14:paraId="2D6D215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2.3.1.5项目支出预算编制及审批流程。</w:t>
      </w:r>
    </w:p>
    <w:p w14:paraId="7D54F7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2.3.1.6转移支付项目预算编制及审批流程。</w:t>
      </w:r>
    </w:p>
    <w:p w14:paraId="77407DA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2.3.1.7政府采购预算编制及审批流程。</w:t>
      </w:r>
    </w:p>
    <w:p w14:paraId="294CCC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2.3.1.8资产配置预算编制及审批流程。</w:t>
      </w:r>
    </w:p>
    <w:p w14:paraId="7FD1730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2.3.1.9年度预算编制及审批流程。</w:t>
      </w:r>
    </w:p>
    <w:p w14:paraId="6F72593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2.3.1.10预算内部分解下达流程。</w:t>
      </w:r>
    </w:p>
    <w:p w14:paraId="2125B34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2.3.1.11预算执行与分析流程。</w:t>
      </w:r>
    </w:p>
    <w:p w14:paraId="52670EB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2.3.1.12预算调整流程。</w:t>
      </w:r>
    </w:p>
    <w:p w14:paraId="35FA38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2.3.1.13预算调剂流程。</w:t>
      </w:r>
    </w:p>
    <w:p w14:paraId="589991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2.3.1.14决算编制及审批流程。</w:t>
      </w:r>
    </w:p>
    <w:p w14:paraId="499DC90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2.3.1.15预算绩效评价流程。</w:t>
      </w:r>
    </w:p>
    <w:p w14:paraId="467C6C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2.3.1.16预决算公开流程等。</w:t>
      </w:r>
    </w:p>
    <w:p w14:paraId="27E0AE8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2.3.2预算管理各关键业务流程图、流程说明与本领域及其他领域之间的流程衔接关系，如预算执行流程与采购、资产等流程的衔接；预算分解下达流程与收支领域内支出事前流程的衔接。</w:t>
      </w:r>
    </w:p>
    <w:p w14:paraId="3A423D8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2.3.3预算管理一致性。</w:t>
      </w:r>
    </w:p>
    <w:p w14:paraId="631E070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2.4预算管理关键流程执行情况。</w:t>
      </w:r>
    </w:p>
    <w:p w14:paraId="52018DE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2.5预算管理要求在信息系统中的运行情况。</w:t>
      </w:r>
    </w:p>
    <w:p w14:paraId="3EFC4A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2.5.1预算管理的不相容岗位分离要求。</w:t>
      </w:r>
    </w:p>
    <w:p w14:paraId="4EE7B21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2.5.2部门职能及岗位职责及权限控制要求。</w:t>
      </w:r>
    </w:p>
    <w:p w14:paraId="435B8DA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2.5.3关键业务流程固化要求。</w:t>
      </w:r>
    </w:p>
    <w:p w14:paraId="43C42BF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2.5.3.1项目申报及审批流程。</w:t>
      </w:r>
    </w:p>
    <w:p w14:paraId="7C2C604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2.5.3.2基本支出预算编制及审批流程。</w:t>
      </w:r>
    </w:p>
    <w:p w14:paraId="29C5F66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2.5.3.3项目支出预算编制及审批流程。</w:t>
      </w:r>
    </w:p>
    <w:p w14:paraId="35E7D6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2.5.3.4转移支付项目预算编制及审批流程。</w:t>
      </w:r>
    </w:p>
    <w:p w14:paraId="089114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2.5.3.5年度预算编制及审批流程。</w:t>
      </w:r>
    </w:p>
    <w:p w14:paraId="7B0B64A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2.5.3.6预算调整流程。</w:t>
      </w:r>
    </w:p>
    <w:p w14:paraId="228ED7B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2.5.3.7预算调剂流程。</w:t>
      </w:r>
    </w:p>
    <w:p w14:paraId="63A059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2.5.4关键业务流程中的关键控制点固化要求、关键控制点对应的控制要素、控制要求、控制依据固化要求、关键控制点的单据固化要求、关键控制点的时限固化要求。</w:t>
      </w:r>
    </w:p>
    <w:p w14:paraId="33AA8A7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3、收支管理</w:t>
      </w:r>
    </w:p>
    <w:p w14:paraId="0F46D4F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3.1不相容岗位是否分离，是否明确了岗位及人员，且两个岗位为不同的人员。如：收款与会计核算；支出申请与审批；支出审批与付款；业务经办与会计核算。</w:t>
      </w:r>
    </w:p>
    <w:p w14:paraId="534592A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3.2收支管理制度建立情况。</w:t>
      </w:r>
    </w:p>
    <w:p w14:paraId="6520529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3.2.1明确收支管理内部控制的决策、管理、执行、监督机构的职责。</w:t>
      </w:r>
    </w:p>
    <w:p w14:paraId="358A03A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3.2.2明确收支管理各业务环节的管理要求（含：控制目标、控制要求、与其他环节的衔接控制要求等）：包括收入管理、支出管理、票据管理、公务卡管理、银行账户管理、财务印章管理、收入及支出分析管理、会计档案管理、债务管理（事业单位）等环节。</w:t>
      </w:r>
    </w:p>
    <w:p w14:paraId="5C0B1F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3.3收支管理流程梳理及流程图编制情况。</w:t>
      </w:r>
    </w:p>
    <w:p w14:paraId="1AD600D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3.3.1编制收支管理各关键业务流程图（含：主责部门、主责岗位、控制动作、控制文档、风险点、控制点）。</w:t>
      </w:r>
    </w:p>
    <w:p w14:paraId="20B9419E">
      <w:pPr>
        <w:keepNext w:val="0"/>
        <w:keepLines w:val="0"/>
        <w:pageBreakBefore w:val="0"/>
        <w:wordWrap/>
        <w:overflowPunct/>
        <w:topLinePunct w:val="0"/>
        <w:bidi w:val="0"/>
        <w:spacing w:before="0" w:beforeLines="0" w:after="0" w:afterLines="0" w:line="240" w:lineRule="auto"/>
        <w:ind w:firstLine="480" w:firstLineChars="200"/>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kern w:val="2"/>
          <w:sz w:val="24"/>
          <w:szCs w:val="24"/>
          <w:highlight w:val="none"/>
          <w:vertAlign w:val="baseline"/>
          <w:lang w:val="en-US" w:eastAsia="zh-CN" w:bidi="ar-SA"/>
        </w:rPr>
        <w:t>3.3.2编制收支管理各关键业务流程图的流程说明（含：主责部门、主责岗位、控制动作、控制要素、控制要求、控制文档）。</w:t>
      </w:r>
    </w:p>
    <w:p w14:paraId="68B1CD3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3.3.2.1收入登记及入账流程。</w:t>
      </w:r>
    </w:p>
    <w:p w14:paraId="349C5F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3.3.2.2支出事前申请及审批流程。</w:t>
      </w:r>
    </w:p>
    <w:p w14:paraId="17E2D04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3.3.2.3用款计划申请及审批流程。</w:t>
      </w:r>
    </w:p>
    <w:p w14:paraId="6A6462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3.3.2.4借款申请及审批流程。</w:t>
      </w:r>
    </w:p>
    <w:p w14:paraId="4FB7050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3.2.5报销申请及审批流程。</w:t>
      </w:r>
    </w:p>
    <w:p w14:paraId="0B76AF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3.3.3收支管理各关键业务流程图、流程说明体现与本领域及其他领域之间的流程衔接关系，如支出事前申请流程，其与政府采购领域内采购需求论证流程相衔接。</w:t>
      </w:r>
    </w:p>
    <w:p w14:paraId="1DAE1F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3.4收支管理关键流程一致性。</w:t>
      </w:r>
    </w:p>
    <w:p w14:paraId="049EACC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3.5收支管理关键流程执行情况。</w:t>
      </w:r>
    </w:p>
    <w:p w14:paraId="316067C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按照流程要求进行审批控制；保留相应的过程性记录；保证业务的有效实施；是否包括关键性流程，如收入登记及入账流程；非税收入收取及缴库流程；支出事前申请及审批流程；用款计划申请及审批流程；借款申请及审批流程；报销申请及审批流程；财政直接支付申请及审批流程；财政授权支付申请及审批流程；财政票据年度用票计划申报及审核流程等等。</w:t>
      </w:r>
    </w:p>
    <w:p w14:paraId="5AB4FEE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3.6收支管理要求在信息系统中的运行情况。</w:t>
      </w:r>
    </w:p>
    <w:p w14:paraId="4CF1D22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3.6.1收支管理的不相容岗位分离要求。</w:t>
      </w:r>
    </w:p>
    <w:p w14:paraId="2A1519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3.6.2部门职能及岗位职责及权限控制要求。</w:t>
      </w:r>
    </w:p>
    <w:p w14:paraId="07B0F7B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3.6.3关键业务流程固化要求。</w:t>
      </w:r>
    </w:p>
    <w:p w14:paraId="56987C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val="0"/>
          <w:bCs w:val="0"/>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3.6.4关键业务流程中的关键控制点固化要求、关键控制点对应的控制要素、控制要求、控制依据固化要求、关键控制点的单据固化要求、关键控制点的时限固化要求。</w:t>
      </w:r>
    </w:p>
    <w:p w14:paraId="7EECA171">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GCP/药剂科</w:t>
      </w:r>
    </w:p>
    <w:p w14:paraId="462B4040">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val="0"/>
          <w:bCs w:val="0"/>
          <w:snapToGrid/>
          <w:kern w:val="2"/>
          <w:sz w:val="24"/>
          <w:szCs w:val="24"/>
          <w:highlight w:val="none"/>
          <w:vertAlign w:val="baseline"/>
          <w:lang w:val="en-US" w:eastAsia="zh-CN" w:bidi="ar-SA"/>
        </w:rPr>
      </w:pPr>
      <w:r>
        <w:rPr>
          <w:rFonts w:hint="eastAsia" w:ascii="仿宋" w:hAnsi="仿宋" w:eastAsia="仿宋" w:cs="仿宋"/>
          <w:b w:val="0"/>
          <w:bCs w:val="0"/>
          <w:snapToGrid/>
          <w:kern w:val="2"/>
          <w:sz w:val="24"/>
          <w:szCs w:val="24"/>
          <w:highlight w:val="none"/>
          <w:vertAlign w:val="baseline"/>
          <w:lang w:val="en-US" w:eastAsia="zh-CN" w:bidi="ar-SA"/>
        </w:rPr>
        <w:t>1、审核医院现有药品采购内控制度，提出修订建议，并协助修订。</w:t>
      </w:r>
    </w:p>
    <w:p w14:paraId="07659119">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val="0"/>
          <w:bCs w:val="0"/>
          <w:snapToGrid/>
          <w:kern w:val="2"/>
          <w:sz w:val="24"/>
          <w:szCs w:val="24"/>
          <w:highlight w:val="none"/>
          <w:vertAlign w:val="baseline"/>
          <w:lang w:val="en-US" w:eastAsia="zh-CN" w:bidi="ar-SA"/>
        </w:rPr>
      </w:pPr>
      <w:r>
        <w:rPr>
          <w:rFonts w:hint="eastAsia" w:ascii="仿宋" w:hAnsi="仿宋" w:eastAsia="仿宋" w:cs="仿宋"/>
          <w:b w:val="0"/>
          <w:bCs w:val="0"/>
          <w:snapToGrid/>
          <w:kern w:val="2"/>
          <w:sz w:val="24"/>
          <w:szCs w:val="24"/>
          <w:highlight w:val="none"/>
          <w:vertAlign w:val="baseline"/>
          <w:lang w:val="en-US" w:eastAsia="zh-CN" w:bidi="ar-SA"/>
        </w:rPr>
        <w:t>2、审核医院现有临床试验SOP内控体系，提出修订建议，并协助修订。</w:t>
      </w:r>
    </w:p>
    <w:p w14:paraId="30B3B40F">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医务科</w:t>
      </w:r>
    </w:p>
    <w:p w14:paraId="71979576">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b w:val="0"/>
          <w:bCs w:val="0"/>
          <w:snapToGrid/>
          <w:kern w:val="2"/>
          <w:sz w:val="24"/>
          <w:szCs w:val="24"/>
          <w:highlight w:val="none"/>
          <w:vertAlign w:val="baseline"/>
          <w:lang w:val="en-US" w:eastAsia="zh-CN" w:bidi="ar-SA"/>
        </w:rPr>
        <w:t>依据《国务院办公厅关于推动公立医院高质量发展的意见》、《公立医院内部控制管理办法》、《关于印</w:t>
      </w:r>
      <w:r>
        <w:rPr>
          <w:rFonts w:hint="eastAsia" w:ascii="仿宋" w:hAnsi="仿宋" w:eastAsia="仿宋" w:cs="仿宋"/>
          <w:snapToGrid/>
          <w:kern w:val="2"/>
          <w:sz w:val="24"/>
          <w:szCs w:val="24"/>
          <w:highlight w:val="none"/>
          <w:vertAlign w:val="baseline"/>
          <w:lang w:val="en-US" w:eastAsia="zh-CN" w:bidi="ar-SA"/>
        </w:rPr>
        <w:t>发&lt;关于进一步加强公立医院内部控制建设的指导意见&gt;的通知》文件精神，帮助医务科建立全面、系统、科学、有效的内部控制体系。</w:t>
      </w:r>
    </w:p>
    <w:p w14:paraId="4024B749">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1、需要系统能够全面、系统、客观地识别、分析本院医疗活动及相关业务活动存在的风险，确定相应的风险承受度及风险应对策略并出具风险评估报告（医务相关）。</w:t>
      </w:r>
    </w:p>
    <w:p w14:paraId="0891BBEF">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snapToGrid/>
          <w:kern w:val="2"/>
          <w:sz w:val="24"/>
          <w:szCs w:val="24"/>
          <w:highlight w:val="none"/>
          <w:vertAlign w:val="baseline"/>
          <w:lang w:val="en-US" w:eastAsia="zh-CN" w:bidi="ar-SA"/>
        </w:rPr>
        <w:t>2、需要针对医院内部控制建立和实施的有效性进行评价并按《公立医院内部控制管理办法》的要求出具内部控制评价报告（医务相关）。</w:t>
      </w:r>
    </w:p>
    <w:p w14:paraId="71EEC4E3">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3、确保医院内部控制建设形成合规和有效的内控机制并形成制度，其中包括：</w:t>
      </w:r>
    </w:p>
    <w:p w14:paraId="7501703D">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（1）协助建立健全诊疗规范和诊疗活动管理制度，规范医疗行为，并严格按照政府主管部门批准范围开展诊疗活动；</w:t>
      </w:r>
    </w:p>
    <w:p w14:paraId="39E350AB">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（2）医疗业务活动应当实行归口管理，希望协助明确内部医务管理部门、医保部门、物价部门在医疗活动方面的职责；</w:t>
      </w:r>
    </w:p>
    <w:p w14:paraId="1F819007">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（3）针对医务相关流程进行梳理和完善，并绘制流程图；</w:t>
      </w:r>
    </w:p>
    <w:p w14:paraId="41C28CCD">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（4）对医务相关表单、管理台账等进行设计或完善，并帮助完善内部控制报告的内容编制填报。</w:t>
      </w:r>
    </w:p>
    <w:p w14:paraId="7F889333">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为加强对临床科室诊疗活动的监督检查力度，帮助医务科健全相关管理制度，优化管理流程，帮助建立与医保部门、物价部门沟通协调机制，定期分析诊疗服务过程中存在的漏洞，对存在的问题及时组织整改。</w:t>
      </w:r>
    </w:p>
    <w:p w14:paraId="75900B0F">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5、加强行风建设，帮助设置并完善行风管理制度，加强监督和管理，以避免临床科室和医务人员在执业过程中出现违规违法行为。</w:t>
      </w:r>
    </w:p>
    <w:p w14:paraId="4856A3CC">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6、帮助医务科完善各相关委员会建设，明确委员会的组织构成和运行机制。</w:t>
      </w:r>
    </w:p>
    <w:p w14:paraId="4F08DD4F">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7、帮助明确医务科在互联网医疗业务中的职责与权限，建立互联网医疗业务的工作流程、业务规范、沟通配合机制，对互联网医疗业务管理的关键环节实行重点管控。</w:t>
      </w:r>
    </w:p>
    <w:p w14:paraId="3D0F6E30">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基建科</w:t>
      </w:r>
    </w:p>
    <w:p w14:paraId="4F428C3B">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建立基本建设项目（大型项目、改扩建项目、院内零星维修项目）管理制度，项目议事决策机制、项目审核机制和项目考核监督机制。建设项目的立项、设计、概预算、施工、询价、收方、验收、归档和竣工决算的工作流程、业务规范。</w:t>
      </w:r>
    </w:p>
    <w:p w14:paraId="7113AF4D">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2、明确建设项目（大型项目、改扩建项目、院内零星维修项目）决策机构、归口管理部门、财务部门、审计部门、资产部门等内部相关部门在建设项目管理中的职责权限。</w:t>
      </w:r>
    </w:p>
    <w:p w14:paraId="2B3795ED">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3、合理设置科室管理岗位，明确岗位职能、职责、权限。</w:t>
      </w:r>
    </w:p>
    <w:p w14:paraId="658ED28E">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4、建设项目管理各关键工作的流程图及流程说明。</w:t>
      </w:r>
    </w:p>
    <w:p w14:paraId="4BC5ACC9">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审计科</w:t>
      </w:r>
    </w:p>
    <w:p w14:paraId="40B066C5">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1、分析本院经济活动及相关业务活动存在的风险，确定相应的风险承受度及风险应对策略并出具风险评估报告。</w:t>
      </w:r>
    </w:p>
    <w:p w14:paraId="1D615F0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snapToGrid/>
          <w:kern w:val="2"/>
          <w:sz w:val="24"/>
          <w:szCs w:val="24"/>
          <w:highlight w:val="none"/>
          <w:vertAlign w:val="baseline"/>
          <w:lang w:val="en-US" w:eastAsia="zh-CN" w:bidi="ar-SA"/>
        </w:rPr>
        <w:t>2、对本院内部控制建立和实施的有效性进行评价，按《公立医院内部控制管理办法》（国卫财发〔2020〕31号）第五十条的要求制定内部控制评价方案，出具评价报告。</w:t>
      </w:r>
    </w:p>
    <w:p w14:paraId="16C23102">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设备科</w:t>
      </w:r>
    </w:p>
    <w:p w14:paraId="0765C934">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建立健全医疗器械与医用耗材采管体系，落实国家药品和医用耗材采购政策明确职责划分与归口管理，确定医用耗材、仪器设备、科研试剂等品类多、金额大的物资和设备等物资采购过程中的关键管控环节和控制措施。</w:t>
      </w:r>
    </w:p>
    <w:p w14:paraId="5483EAD8">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2、建立健全覆盖医疗设备、医用耗材、服务类采购全流程需求论证、需求制定、项目执行、验收入库等环节的审核与评估机制。</w:t>
      </w:r>
    </w:p>
    <w:p w14:paraId="6074204E">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3、建立健全覆盖资产管理全条线的管理办法和信息流程，实现资产实时动态管理，规范资产变动管理。</w:t>
      </w:r>
    </w:p>
    <w:p w14:paraId="0A39609E">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4、建立健全供应商管理评价机制。</w:t>
      </w:r>
    </w:p>
    <w:p w14:paraId="2D5673E7">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信息科</w:t>
      </w:r>
    </w:p>
    <w:p w14:paraId="5624D2AB">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按照《公立医院内部控制管理办法》第三十九条要求会同科室完成“信息化建设业务内部控制”板块对医院管理制度要求建设内容。</w:t>
      </w:r>
    </w:p>
    <w:p w14:paraId="3626265D">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（四）协助采购人完成2024年度内部控制报告的内容编制填报。</w:t>
      </w:r>
    </w:p>
    <w:p w14:paraId="7D5DF2AD">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五）提供内部控制建设服务的实施方案，方案包括：①项目分析；②质量控制措施；③项目实施重难点分析及应对策略；④实施的方法和步骤方案；⑤项目人员配置及工作职责；⑥确保服务周期的措施等；⑦审核工作步骤及流程；⑧廉政、保密制度等内容。</w:t>
      </w:r>
    </w:p>
    <w:p w14:paraId="75498D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bCs/>
          <w:snapToGrid/>
          <w:kern w:val="2"/>
          <w:sz w:val="24"/>
          <w:szCs w:val="24"/>
          <w:highlight w:val="none"/>
          <w:shd w:val="clear"/>
          <w:vertAlign w:val="baseline"/>
          <w:lang w:val="en-US" w:eastAsia="zh-CN" w:bidi="ar-SA"/>
        </w:rPr>
      </w:pPr>
      <w:r>
        <w:rPr>
          <w:rFonts w:hint="eastAsia" w:ascii="仿宋" w:hAnsi="仿宋" w:eastAsia="仿宋" w:cs="仿宋"/>
          <w:b/>
          <w:bCs/>
          <w:snapToGrid/>
          <w:kern w:val="2"/>
          <w:sz w:val="24"/>
          <w:szCs w:val="24"/>
          <w:highlight w:val="none"/>
          <w:shd w:val="clear"/>
          <w:lang w:val="en-US" w:eastAsia="zh-CN" w:bidi="ar-SA"/>
        </w:rPr>
        <w:t>★</w:t>
      </w:r>
      <w:r>
        <w:rPr>
          <w:rFonts w:hint="eastAsia" w:ascii="仿宋" w:hAnsi="仿宋" w:eastAsia="仿宋" w:cs="仿宋"/>
          <w:b/>
          <w:bCs/>
          <w:snapToGrid/>
          <w:kern w:val="2"/>
          <w:sz w:val="24"/>
          <w:szCs w:val="24"/>
          <w:highlight w:val="none"/>
          <w:shd w:val="clear"/>
          <w:vertAlign w:val="baseline"/>
          <w:lang w:val="en-US" w:eastAsia="zh-CN" w:bidi="ar-SA"/>
        </w:rPr>
        <w:t>三、其他要求</w:t>
      </w:r>
    </w:p>
    <w:p w14:paraId="2C7BD20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spacing w:val="0"/>
          <w:kern w:val="2"/>
          <w:sz w:val="24"/>
          <w:szCs w:val="24"/>
          <w:highlight w:val="none"/>
          <w:lang w:val="en-US" w:eastAsia="zh-CN" w:bidi="ar-SA"/>
        </w:rPr>
      </w:pPr>
      <w:r>
        <w:rPr>
          <w:rFonts w:hint="eastAsia" w:ascii="仿宋" w:hAnsi="仿宋" w:eastAsia="仿宋" w:cs="仿宋"/>
          <w:b w:val="0"/>
          <w:bCs w:val="0"/>
          <w:snapToGrid/>
          <w:kern w:val="2"/>
          <w:sz w:val="24"/>
          <w:szCs w:val="24"/>
          <w:highlight w:val="none"/>
          <w:lang w:val="en-US" w:eastAsia="zh-CN" w:bidi="ar-SA"/>
        </w:rPr>
        <w:t>1、安全要求：</w:t>
      </w:r>
      <w:r>
        <w:rPr>
          <w:rFonts w:hint="eastAsia" w:ascii="仿宋" w:hAnsi="仿宋" w:eastAsia="仿宋" w:cs="仿宋"/>
          <w:snapToGrid/>
          <w:spacing w:val="0"/>
          <w:kern w:val="2"/>
          <w:sz w:val="24"/>
          <w:szCs w:val="24"/>
          <w:highlight w:val="none"/>
          <w:lang w:val="en-US" w:eastAsia="zh-CN" w:bidi="ar-SA"/>
        </w:rPr>
        <w:t>竞选人在服务期间应做好各项安全保障措施，若因竞选人或其工作人员在履行职务过程中的疏忽、失职、过错等故意或者过失原因造成自身人员、采购人或第三方人员伤亡或财产损失的，均由竞选人承担全部责任。</w:t>
      </w:r>
    </w:p>
    <w:p w14:paraId="2BAAA19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2、采购人享有本项目实施过程中产生的知识成果及知识产权。竞选人应保证所提供的服务或其任何一部分均不会侵犯任何第三方的专利权、商标权或著作权。竞选人保证所提供的服务的所有权完全属于竞选人且无任何抵押、查封等产权瑕疵，如有产权瑕疵的，视为竞选人违约，由竞选人承担由此产生的全部损失及责任。</w:t>
      </w:r>
    </w:p>
    <w:p w14:paraId="6E08C154">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snapToGrid/>
          <w:kern w:val="2"/>
          <w:sz w:val="24"/>
          <w:szCs w:val="24"/>
          <w:highlight w:val="none"/>
          <w:lang w:val="en-US" w:eastAsia="zh-CN" w:bidi="ar-SA"/>
        </w:rPr>
        <w:t>3、保密要求：竞选人在服务期间所涉及的所有信息资料（包括：采购人提供或竞选人自行收集的）竞选人均负有保密义务，未经采购人书面同意竞选人不得将与本项目相关的所有信息资料透露给第三方或用于与本项目无关的其他任何事项，否则采购人有权追究其法律责任，如因竞选人过错导致采购人遭受损失的，由竞选人承担全部法律责任及赔偿责任。</w:t>
      </w:r>
    </w:p>
    <w:p w14:paraId="2C1490D1">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bCs/>
          <w:snapToGrid/>
          <w:color w:val="auto"/>
          <w:kern w:val="2"/>
          <w:sz w:val="24"/>
          <w:szCs w:val="24"/>
          <w:highlight w:val="yellow"/>
          <w:shd w:val="clear" w:color="auto" w:fill="auto"/>
          <w:lang w:val="en-US" w:eastAsia="zh-CN" w:bidi="ar-SA"/>
        </w:rPr>
      </w:pPr>
      <w:r>
        <w:rPr>
          <w:rFonts w:hint="eastAsia" w:ascii="仿宋" w:hAnsi="仿宋" w:eastAsia="仿宋" w:cs="仿宋"/>
          <w:snapToGrid/>
          <w:kern w:val="0"/>
          <w:sz w:val="24"/>
          <w:szCs w:val="24"/>
          <w:lang w:val="en-US" w:eastAsia="zh-CN" w:bidi="ar-SA"/>
        </w:rPr>
        <w:t>4、</w:t>
      </w:r>
      <w:r>
        <w:rPr>
          <w:rFonts w:hint="eastAsia" w:ascii="仿宋" w:hAnsi="仿宋" w:eastAsia="仿宋" w:cs="仿宋"/>
          <w:snapToGrid/>
          <w:kern w:val="2"/>
          <w:sz w:val="24"/>
          <w:szCs w:val="24"/>
          <w:highlight w:val="none"/>
          <w:lang w:val="en-US" w:eastAsia="zh-CN" w:bidi="ar-SA"/>
        </w:rPr>
        <w:t>竞选人</w:t>
      </w:r>
      <w:r>
        <w:rPr>
          <w:rFonts w:hint="eastAsia" w:ascii="仿宋" w:hAnsi="仿宋" w:eastAsia="仿宋" w:cs="仿宋"/>
          <w:snapToGrid/>
          <w:kern w:val="0"/>
          <w:sz w:val="24"/>
          <w:szCs w:val="24"/>
          <w:lang w:val="en-US" w:eastAsia="zh-Hans" w:bidi="ar-SA"/>
        </w:rPr>
        <w:t>需</w:t>
      </w:r>
      <w:r>
        <w:rPr>
          <w:rFonts w:hint="eastAsia" w:ascii="仿宋" w:hAnsi="仿宋" w:eastAsia="仿宋" w:cs="仿宋"/>
          <w:snapToGrid/>
          <w:kern w:val="0"/>
          <w:sz w:val="24"/>
          <w:szCs w:val="24"/>
          <w:lang w:val="en-US" w:eastAsia="zh-CN" w:bidi="ar-SA"/>
        </w:rPr>
        <w:t>针对本项目</w:t>
      </w:r>
      <w:r>
        <w:rPr>
          <w:rFonts w:hint="eastAsia" w:ascii="仿宋" w:hAnsi="仿宋" w:eastAsia="仿宋" w:cs="仿宋"/>
          <w:snapToGrid/>
          <w:kern w:val="0"/>
          <w:sz w:val="24"/>
          <w:szCs w:val="24"/>
          <w:lang w:val="en-US" w:eastAsia="zh-Hans" w:bidi="ar-SA"/>
        </w:rPr>
        <w:t>配备高素质且专业能力强的服务团队</w:t>
      </w:r>
      <w:r>
        <w:rPr>
          <w:rFonts w:hint="eastAsia" w:ascii="仿宋" w:hAnsi="仿宋" w:eastAsia="仿宋" w:cs="仿宋"/>
          <w:snapToGrid/>
          <w:kern w:val="0"/>
          <w:sz w:val="24"/>
          <w:szCs w:val="24"/>
          <w:lang w:val="en-US" w:eastAsia="zh-CN" w:bidi="ar-SA"/>
        </w:rPr>
        <w:t>，其中</w:t>
      </w:r>
      <w:r>
        <w:rPr>
          <w:rFonts w:hint="eastAsia" w:ascii="仿宋" w:hAnsi="仿宋" w:eastAsia="仿宋" w:cs="仿宋"/>
          <w:snapToGrid/>
          <w:kern w:val="0"/>
          <w:sz w:val="24"/>
          <w:szCs w:val="24"/>
          <w:lang w:val="en-US" w:eastAsia="zh-Hans" w:bidi="ar-SA"/>
        </w:rPr>
        <w:t>驻场人员</w:t>
      </w:r>
      <w:r>
        <w:rPr>
          <w:rFonts w:hint="eastAsia" w:ascii="仿宋" w:hAnsi="仿宋" w:eastAsia="仿宋" w:cs="仿宋"/>
          <w:snapToGrid/>
          <w:kern w:val="0"/>
          <w:sz w:val="24"/>
          <w:szCs w:val="24"/>
          <w:lang w:val="en-US" w:eastAsia="zh-CN" w:bidi="ar-SA"/>
        </w:rPr>
        <w:t>不少于</w:t>
      </w:r>
      <w:r>
        <w:rPr>
          <w:rFonts w:hint="eastAsia" w:ascii="仿宋" w:hAnsi="仿宋" w:eastAsia="仿宋" w:cs="仿宋"/>
          <w:snapToGrid/>
          <w:kern w:val="0"/>
          <w:sz w:val="24"/>
          <w:szCs w:val="24"/>
          <w:lang w:val="en-US" w:eastAsia="zh-Hans" w:bidi="ar-SA"/>
        </w:rPr>
        <w:t>3人</w:t>
      </w:r>
      <w:r>
        <w:rPr>
          <w:rFonts w:hint="eastAsia" w:ascii="仿宋" w:hAnsi="仿宋" w:eastAsia="仿宋" w:cs="仿宋"/>
          <w:snapToGrid/>
          <w:kern w:val="0"/>
          <w:sz w:val="24"/>
          <w:szCs w:val="24"/>
          <w:lang w:val="en-US" w:eastAsia="zh-CN" w:bidi="ar-SA"/>
        </w:rPr>
        <w:t>（其中</w:t>
      </w:r>
      <w:r>
        <w:rPr>
          <w:rFonts w:hint="eastAsia" w:ascii="仿宋" w:hAnsi="仿宋" w:eastAsia="仿宋" w:cs="仿宋"/>
          <w:snapToGrid/>
          <w:kern w:val="0"/>
          <w:sz w:val="24"/>
          <w:szCs w:val="24"/>
          <w:lang w:val="en-US" w:eastAsia="zh-Hans" w:bidi="ar-SA"/>
        </w:rPr>
        <w:t>注册会计师</w:t>
      </w:r>
      <w:r>
        <w:rPr>
          <w:rFonts w:hint="eastAsia" w:ascii="仿宋" w:hAnsi="仿宋" w:eastAsia="仿宋" w:cs="仿宋"/>
          <w:snapToGrid/>
          <w:kern w:val="0"/>
          <w:sz w:val="24"/>
          <w:szCs w:val="24"/>
          <w:lang w:val="en-US" w:eastAsia="zh-CN" w:bidi="ar-SA"/>
        </w:rPr>
        <w:t>不少于</w:t>
      </w:r>
      <w:r>
        <w:rPr>
          <w:rFonts w:hint="eastAsia" w:ascii="仿宋" w:hAnsi="仿宋" w:eastAsia="仿宋" w:cs="仿宋"/>
          <w:snapToGrid/>
          <w:kern w:val="0"/>
          <w:sz w:val="24"/>
          <w:szCs w:val="24"/>
          <w:lang w:val="en-US" w:eastAsia="zh-Hans" w:bidi="ar-SA"/>
        </w:rPr>
        <w:t>1人，会计师工作经验</w:t>
      </w:r>
      <w:r>
        <w:rPr>
          <w:rFonts w:hint="eastAsia" w:ascii="仿宋" w:hAnsi="仿宋" w:eastAsia="仿宋" w:cs="仿宋"/>
          <w:snapToGrid/>
          <w:kern w:val="0"/>
          <w:sz w:val="24"/>
          <w:szCs w:val="24"/>
          <w:lang w:val="en-US" w:eastAsia="zh-CN" w:bidi="ar-SA"/>
        </w:rPr>
        <w:t>不少于</w:t>
      </w:r>
      <w:r>
        <w:rPr>
          <w:rFonts w:hint="eastAsia" w:ascii="仿宋" w:hAnsi="仿宋" w:eastAsia="仿宋" w:cs="仿宋"/>
          <w:snapToGrid/>
          <w:kern w:val="0"/>
          <w:sz w:val="24"/>
          <w:szCs w:val="24"/>
          <w:lang w:val="en-US" w:eastAsia="zh-Hans" w:bidi="ar-SA"/>
        </w:rPr>
        <w:t>3年</w:t>
      </w:r>
      <w:r>
        <w:rPr>
          <w:rFonts w:hint="eastAsia" w:ascii="仿宋" w:hAnsi="仿宋" w:eastAsia="仿宋" w:cs="仿宋"/>
          <w:snapToGrid/>
          <w:kern w:val="0"/>
          <w:sz w:val="24"/>
          <w:szCs w:val="24"/>
          <w:lang w:val="en-US" w:eastAsia="zh-CN" w:bidi="ar-SA"/>
        </w:rPr>
        <w:t>），</w:t>
      </w:r>
      <w:r>
        <w:rPr>
          <w:rFonts w:hint="eastAsia" w:ascii="仿宋" w:hAnsi="仿宋" w:eastAsia="仿宋" w:cs="仿宋"/>
          <w:snapToGrid/>
          <w:kern w:val="0"/>
          <w:sz w:val="24"/>
          <w:szCs w:val="24"/>
          <w:lang w:val="en-US" w:eastAsia="zh-Hans" w:bidi="ar-SA"/>
        </w:rPr>
        <w:t>项目负责人</w:t>
      </w:r>
      <w:r>
        <w:rPr>
          <w:rFonts w:hint="eastAsia" w:ascii="仿宋" w:hAnsi="仿宋" w:eastAsia="仿宋" w:cs="仿宋"/>
          <w:snapToGrid/>
          <w:kern w:val="0"/>
          <w:sz w:val="24"/>
          <w:szCs w:val="24"/>
          <w:lang w:val="en-US" w:eastAsia="zh-CN" w:bidi="ar-SA"/>
        </w:rPr>
        <w:t>（包含在</w:t>
      </w:r>
      <w:r>
        <w:rPr>
          <w:rFonts w:hint="eastAsia" w:ascii="仿宋" w:hAnsi="仿宋" w:eastAsia="仿宋" w:cs="仿宋"/>
          <w:snapToGrid/>
          <w:kern w:val="0"/>
          <w:sz w:val="24"/>
          <w:szCs w:val="24"/>
          <w:lang w:val="en-US" w:eastAsia="zh-Hans" w:bidi="ar-SA"/>
        </w:rPr>
        <w:t>驻场人员</w:t>
      </w:r>
      <w:r>
        <w:rPr>
          <w:rFonts w:hint="eastAsia" w:ascii="仿宋" w:hAnsi="仿宋" w:eastAsia="仿宋" w:cs="仿宋"/>
          <w:snapToGrid/>
          <w:kern w:val="0"/>
          <w:sz w:val="24"/>
          <w:szCs w:val="24"/>
          <w:lang w:val="en-US" w:eastAsia="zh-CN" w:bidi="ar-SA"/>
        </w:rPr>
        <w:t>中）</w:t>
      </w:r>
      <w:r>
        <w:rPr>
          <w:rFonts w:hint="eastAsia" w:ascii="仿宋" w:hAnsi="仿宋" w:eastAsia="仿宋" w:cs="仿宋"/>
          <w:snapToGrid/>
          <w:kern w:val="0"/>
          <w:sz w:val="24"/>
          <w:szCs w:val="24"/>
          <w:lang w:val="en-US" w:eastAsia="zh-Hans" w:bidi="ar-SA"/>
        </w:rPr>
        <w:t>具有注册会计师执业证书。</w:t>
      </w:r>
      <w:r>
        <w:rPr>
          <w:rFonts w:hint="eastAsia" w:ascii="仿宋" w:hAnsi="仿宋" w:eastAsia="仿宋" w:cs="仿宋"/>
          <w:b/>
          <w:bCs/>
          <w:snapToGrid/>
          <w:kern w:val="0"/>
          <w:sz w:val="24"/>
          <w:szCs w:val="24"/>
          <w:lang w:val="en-US" w:eastAsia="zh-CN" w:bidi="ar-SA"/>
        </w:rPr>
        <w:t>（竞选人需提供承诺函，承诺在成交后合同签订前提供以上相关人员名单明细、工作经验证明以及人员证书交由采购人备案。）</w:t>
      </w:r>
    </w:p>
    <w:p w14:paraId="2A9568A0">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val="0"/>
          <w:bCs w:val="0"/>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5、竞选人须具备良好的咨询服务经验和行业口碑，有丰富的公立医院内部控制建设经验</w:t>
      </w:r>
      <w:r>
        <w:rPr>
          <w:rFonts w:hint="eastAsia" w:ascii="仿宋" w:hAnsi="仿宋" w:eastAsia="仿宋" w:cs="仿宋"/>
          <w:b/>
          <w:bCs/>
          <w:snapToGrid/>
          <w:color w:val="auto"/>
          <w:kern w:val="2"/>
          <w:sz w:val="24"/>
          <w:szCs w:val="24"/>
          <w:highlight w:val="none"/>
          <w:shd w:val="clear" w:color="auto" w:fill="auto"/>
          <w:lang w:val="en-US" w:eastAsia="zh-CN" w:bidi="ar-SA"/>
        </w:rPr>
        <w:t>，</w:t>
      </w:r>
      <w:r>
        <w:rPr>
          <w:rFonts w:hint="eastAsia" w:ascii="仿宋" w:hAnsi="仿宋" w:eastAsia="仿宋" w:cs="仿宋"/>
          <w:b w:val="0"/>
          <w:bCs w:val="0"/>
          <w:snapToGrid/>
          <w:color w:val="auto"/>
          <w:kern w:val="2"/>
          <w:sz w:val="24"/>
          <w:szCs w:val="24"/>
          <w:highlight w:val="none"/>
          <w:shd w:val="clear" w:color="auto" w:fill="auto"/>
          <w:lang w:val="en-US" w:eastAsia="zh-CN" w:bidi="ar-SA"/>
        </w:rPr>
        <w:t xml:space="preserve">有公立医院内部控制体系设计、咨询、建设等服务经历，熟悉医疗行业经营业务。 </w:t>
      </w:r>
    </w:p>
    <w:p w14:paraId="27DEBFDF">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bCs/>
          <w:snapToGrid/>
          <w:color w:val="000000"/>
          <w:kern w:val="2"/>
          <w:sz w:val="24"/>
          <w:szCs w:val="24"/>
          <w:highlight w:val="none"/>
          <w:lang w:val="en-US" w:eastAsia="zh-CN" w:bidi="ar-SA"/>
        </w:rPr>
      </w:pPr>
      <w:r>
        <w:rPr>
          <w:rFonts w:hint="eastAsia" w:ascii="仿宋" w:hAnsi="仿宋" w:eastAsia="仿宋" w:cs="仿宋"/>
          <w:b/>
          <w:snapToGrid/>
          <w:kern w:val="2"/>
          <w:sz w:val="24"/>
          <w:szCs w:val="24"/>
          <w:highlight w:val="none"/>
          <w:lang w:val="en-US" w:eastAsia="zh-CN" w:bidi="ar-SA"/>
        </w:rPr>
        <w:t>3.3.项目采购要求</w:t>
      </w:r>
    </w:p>
    <w:p w14:paraId="7195D68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2"/>
        <w:rPr>
          <w:rFonts w:hint="eastAsia" w:ascii="仿宋" w:hAnsi="仿宋" w:eastAsia="仿宋" w:cs="仿宋"/>
          <w:b/>
          <w:bCs/>
          <w:snapToGrid/>
          <w:color w:val="000000"/>
          <w:kern w:val="2"/>
          <w:sz w:val="24"/>
          <w:szCs w:val="24"/>
          <w:highlight w:val="none"/>
          <w:lang w:val="en-US" w:eastAsia="zh-CN" w:bidi="ar-SA"/>
        </w:rPr>
      </w:pPr>
      <w:r>
        <w:rPr>
          <w:rFonts w:hint="eastAsia" w:ascii="仿宋" w:hAnsi="仿宋" w:eastAsia="仿宋" w:cs="仿宋"/>
          <w:b/>
          <w:bCs/>
          <w:snapToGrid/>
          <w:color w:val="auto"/>
          <w:kern w:val="2"/>
          <w:sz w:val="24"/>
          <w:szCs w:val="24"/>
          <w:highlight w:val="none"/>
          <w:shd w:val="clear" w:color="auto" w:fill="auto"/>
          <w:lang w:val="en-US" w:eastAsia="zh-CN" w:bidi="ar-SA"/>
        </w:rPr>
        <w:t>★</w:t>
      </w:r>
      <w:r>
        <w:rPr>
          <w:rFonts w:hint="eastAsia" w:ascii="仿宋" w:hAnsi="仿宋" w:eastAsia="仿宋" w:cs="仿宋"/>
          <w:b/>
          <w:snapToGrid/>
          <w:kern w:val="2"/>
          <w:sz w:val="24"/>
          <w:szCs w:val="24"/>
          <w:highlight w:val="none"/>
          <w:lang w:val="en-US" w:eastAsia="zh-CN" w:bidi="ar-SA"/>
        </w:rPr>
        <w:t xml:space="preserve"> 一、商务要求</w:t>
      </w:r>
    </w:p>
    <w:p w14:paraId="50A30A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1、服务期限：自合同签订之日起6个月内完成并经采购人验收合格</w:t>
      </w:r>
      <w:r>
        <w:rPr>
          <w:rFonts w:hint="eastAsia" w:ascii="仿宋" w:hAnsi="仿宋" w:eastAsia="仿宋" w:cs="仿宋"/>
          <w:snapToGrid/>
          <w:color w:val="auto"/>
          <w:kern w:val="0"/>
          <w:sz w:val="24"/>
          <w:szCs w:val="24"/>
          <w:highlight w:val="none"/>
          <w:shd w:val="clear" w:color="auto" w:fill="auto"/>
          <w:lang w:val="en-US" w:eastAsia="zh-CN" w:bidi="ar"/>
        </w:rPr>
        <w:t>。</w:t>
      </w:r>
    </w:p>
    <w:p w14:paraId="28135A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2、服务地点：</w:t>
      </w:r>
      <w:r>
        <w:rPr>
          <w:rFonts w:hint="eastAsia" w:ascii="仿宋" w:hAnsi="仿宋" w:eastAsia="仿宋" w:cs="仿宋"/>
          <w:b w:val="0"/>
          <w:bCs w:val="0"/>
          <w:snapToGrid/>
          <w:color w:val="auto"/>
          <w:kern w:val="0"/>
          <w:sz w:val="24"/>
          <w:szCs w:val="24"/>
          <w:highlight w:val="none"/>
          <w:shd w:val="clear" w:color="auto" w:fill="auto"/>
          <w:lang w:val="en-US" w:eastAsia="zh-CN" w:bidi="ar"/>
        </w:rPr>
        <w:t>内江市第一人民医院。</w:t>
      </w:r>
    </w:p>
    <w:p w14:paraId="7FBC9101">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0"/>
          <w:sz w:val="24"/>
          <w:szCs w:val="24"/>
          <w:highlight w:val="none"/>
          <w:shd w:val="clear" w:color="auto" w:fill="auto"/>
          <w:lang w:val="en-US" w:eastAsia="zh-CN" w:bidi="ar"/>
        </w:rPr>
        <w:t>3、支付方式：合同签订后，</w:t>
      </w:r>
      <w:r>
        <w:rPr>
          <w:rFonts w:hint="eastAsia" w:ascii="仿宋" w:hAnsi="仿宋" w:eastAsia="仿宋" w:cs="仿宋"/>
          <w:snapToGrid/>
          <w:color w:val="auto"/>
          <w:kern w:val="2"/>
          <w:sz w:val="24"/>
          <w:szCs w:val="24"/>
          <w:highlight w:val="none"/>
          <w:shd w:val="clear" w:color="auto" w:fill="auto"/>
          <w:lang w:val="en-US" w:eastAsia="zh-CN" w:bidi="ar-SA"/>
        </w:rPr>
        <w:t>合同签订后90日内提交技术要求的（一）、（二）、（三）项初版产出物，达到付款条件后支付合同总金额的30%，项目验收合格（9大需求科室负责人对12个项目所涉及的内容验收合格并签字）之后90个工作日内支付合同总金额的70%。</w:t>
      </w:r>
    </w:p>
    <w:p w14:paraId="55804E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4、本项目报价包含但不限于：人工劳务、设备投入、报告及成果编制、交通、通讯、材料、资料、保险、税费、利润、采购代理服务费等一切完成本项目的费用，采购人不再额外支付其他任何费用。竞选人应根据本项目的实际与自身情况，并充分考虑不确定性因素可能导致的风险。若因竞选人原因造成的漏报、错报而导致本项目无法履行的，由竞选人负责，采购人不承担任何费用，且竞选人应退还采购人支付的服务费用。</w:t>
      </w:r>
    </w:p>
    <w:p w14:paraId="4D57A7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000000"/>
          <w:kern w:val="0"/>
          <w:sz w:val="24"/>
          <w:szCs w:val="24"/>
          <w:highlight w:val="none"/>
          <w:lang w:val="en-US" w:eastAsia="zh-CN" w:bidi="ar"/>
        </w:rPr>
      </w:pPr>
      <w:r>
        <w:rPr>
          <w:rFonts w:hint="eastAsia" w:ascii="仿宋" w:hAnsi="仿宋" w:eastAsia="仿宋" w:cs="仿宋"/>
          <w:snapToGrid/>
          <w:color w:val="auto"/>
          <w:kern w:val="2"/>
          <w:sz w:val="24"/>
          <w:szCs w:val="24"/>
          <w:highlight w:val="none"/>
          <w:shd w:val="clear" w:color="auto" w:fill="auto"/>
          <w:lang w:val="en-US" w:eastAsia="zh-CN" w:bidi="ar-SA"/>
        </w:rPr>
        <w:t>5、竞选人须提交的合规性内控体系成果资料</w:t>
      </w:r>
      <w:r>
        <w:rPr>
          <w:rFonts w:hint="eastAsia" w:ascii="仿宋" w:hAnsi="仿宋" w:eastAsia="仿宋" w:cs="仿宋"/>
          <w:snapToGrid/>
          <w:color w:val="000000"/>
          <w:kern w:val="0"/>
          <w:sz w:val="24"/>
          <w:szCs w:val="24"/>
          <w:highlight w:val="none"/>
          <w:lang w:val="en-US" w:eastAsia="zh-CN" w:bidi="ar"/>
        </w:rPr>
        <w:t>包括纸质文件和电子文件（格式按采购人需求提供），纸质文件（彩印）6套，电子文件（U盘）1套。成果资料必须签署齐全、图文清楚、图面清晰、资料完整。</w:t>
      </w:r>
    </w:p>
    <w:p w14:paraId="6B5EE2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0"/>
          <w:sz w:val="24"/>
          <w:szCs w:val="24"/>
          <w:highlight w:val="none"/>
          <w:lang w:val="en-US" w:eastAsia="zh-CN" w:bidi="ar"/>
        </w:rPr>
        <w:t>6、</w:t>
      </w:r>
      <w:r>
        <w:rPr>
          <w:rFonts w:hint="eastAsia" w:ascii="仿宋" w:hAnsi="仿宋" w:eastAsia="仿宋" w:cs="仿宋"/>
          <w:snapToGrid/>
          <w:color w:val="auto"/>
          <w:kern w:val="2"/>
          <w:sz w:val="24"/>
          <w:szCs w:val="24"/>
          <w:highlight w:val="none"/>
          <w:shd w:val="clear" w:color="auto" w:fill="auto"/>
          <w:lang w:val="en-US" w:eastAsia="zh-CN" w:bidi="ar-SA"/>
        </w:rPr>
        <w:t>竞选人提交的成果资料包括以下内容：</w:t>
      </w:r>
    </w:p>
    <w:p w14:paraId="0B9824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6.1单位内部控制风险评估报告（2024年）；</w:t>
      </w:r>
    </w:p>
    <w:p w14:paraId="0C54B5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6.2内部控制手册；</w:t>
      </w:r>
    </w:p>
    <w:p w14:paraId="2D50E0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6.3内控流程（含经济活动内控流程图、流程说明）；</w:t>
      </w:r>
    </w:p>
    <w:p w14:paraId="085763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6.4内控制度汇编</w:t>
      </w:r>
    </w:p>
    <w:p w14:paraId="609EE8FC">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基于采购人提供的现有内控制度对标，采购人缺失的内控制度可提供外部合规要求的内控制度参考框架；</w:t>
      </w:r>
    </w:p>
    <w:p w14:paraId="3B5DFE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6.5外部政策汇编（合规性内部控制体系的外部政策依据）。</w:t>
      </w:r>
    </w:p>
    <w:p w14:paraId="2717269A">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b w:val="0"/>
          <w:bCs w:val="0"/>
          <w:snapToGrid/>
          <w:color w:val="auto"/>
          <w:kern w:val="0"/>
          <w:sz w:val="24"/>
          <w:szCs w:val="24"/>
          <w:highlight w:val="none"/>
          <w:shd w:val="clear" w:color="auto" w:fill="auto"/>
          <w:lang w:val="en-US" w:eastAsia="zh-CN" w:bidi="ar"/>
        </w:rPr>
      </w:pPr>
      <w:r>
        <w:rPr>
          <w:rFonts w:hint="eastAsia" w:ascii="仿宋" w:hAnsi="仿宋" w:eastAsia="仿宋" w:cs="仿宋"/>
          <w:b w:val="0"/>
          <w:bCs w:val="0"/>
          <w:snapToGrid/>
          <w:color w:val="auto"/>
          <w:kern w:val="0"/>
          <w:sz w:val="24"/>
          <w:szCs w:val="24"/>
          <w:highlight w:val="none"/>
          <w:shd w:val="clear" w:color="auto" w:fill="auto"/>
          <w:lang w:val="en-US" w:eastAsia="zh-CN" w:bidi="ar"/>
        </w:rPr>
        <w:t>7、售后服务：竞选人必须严格按照竞选文件要求、响应文件中的承诺以及采购人要求提供售后服务。</w:t>
      </w:r>
    </w:p>
    <w:p w14:paraId="3A690C6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8、验收：</w:t>
      </w:r>
    </w:p>
    <w:p w14:paraId="7F202AF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8.1验收组织方式：自行验收</w:t>
      </w:r>
    </w:p>
    <w:p w14:paraId="7797E0FB">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8.2是否邀请本项目的其他竞选人：否</w:t>
      </w:r>
    </w:p>
    <w:p w14:paraId="4744C85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8.3是否邀请专家：否</w:t>
      </w:r>
    </w:p>
    <w:p w14:paraId="7AD6ACA1">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8.4是否邀请服务对象：否</w:t>
      </w:r>
    </w:p>
    <w:p w14:paraId="1ED5788B">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8.5是否邀请第三方检测机构：否</w:t>
      </w:r>
    </w:p>
    <w:p w14:paraId="5BEC39F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u w:val="singl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8.6履约验收程序：</w:t>
      </w:r>
      <w:r>
        <w:rPr>
          <w:rFonts w:hint="eastAsia" w:ascii="仿宋" w:hAnsi="仿宋" w:eastAsia="仿宋" w:cs="仿宋"/>
          <w:snapToGrid/>
          <w:color w:val="auto"/>
          <w:kern w:val="2"/>
          <w:sz w:val="24"/>
          <w:szCs w:val="24"/>
          <w:highlight w:val="none"/>
          <w:u w:val="none"/>
          <w:shd w:val="clear" w:color="auto" w:fill="auto"/>
          <w:lang w:val="en-US" w:eastAsia="zh-CN" w:bidi="ar-SA"/>
        </w:rPr>
        <w:t>由行政办公室及相关职能科室负责验收。</w:t>
      </w:r>
    </w:p>
    <w:p w14:paraId="3065501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u w:val="singl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8.7履约验收时间：自合同签订之日起6个月内。</w:t>
      </w:r>
    </w:p>
    <w:p w14:paraId="5C43D4A4">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8.8验收组织的其他事项：无。</w:t>
      </w:r>
    </w:p>
    <w:p w14:paraId="1A1B20B7">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8.9技术履约验收内容：能够提供外部合规性内控体系成果。外部合规性内控体系包括：风险评估报告、内控手册、内控流程、内控制度、外部政策汇编。且</w:t>
      </w:r>
      <w:r>
        <w:rPr>
          <w:rFonts w:hint="eastAsia" w:ascii="仿宋" w:hAnsi="仿宋" w:eastAsia="仿宋" w:cs="仿宋"/>
          <w:i w:val="0"/>
          <w:iCs w:val="0"/>
          <w:caps w:val="0"/>
          <w:snapToGrid/>
          <w:color w:val="auto"/>
          <w:spacing w:val="0"/>
          <w:kern w:val="2"/>
          <w:sz w:val="24"/>
          <w:szCs w:val="24"/>
          <w:highlight w:val="none"/>
          <w:shd w:val="clear" w:color="auto" w:fill="auto"/>
          <w:lang w:val="en-US" w:eastAsia="zh-CN" w:bidi="ar-SA"/>
        </w:rPr>
        <w:t>严格按照竞选文件、采购合同及竞选人的响应文件中的服务要求和技术指标、约定标准进行验收。</w:t>
      </w:r>
    </w:p>
    <w:p w14:paraId="25330D0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8.10商务履约验收内容：</w:t>
      </w:r>
      <w:r>
        <w:rPr>
          <w:rFonts w:hint="eastAsia" w:ascii="仿宋" w:hAnsi="仿宋" w:eastAsia="仿宋" w:cs="仿宋"/>
          <w:i w:val="0"/>
          <w:iCs w:val="0"/>
          <w:caps w:val="0"/>
          <w:snapToGrid/>
          <w:color w:val="auto"/>
          <w:spacing w:val="0"/>
          <w:kern w:val="2"/>
          <w:sz w:val="24"/>
          <w:szCs w:val="24"/>
          <w:highlight w:val="none"/>
          <w:shd w:val="clear" w:color="auto" w:fill="auto"/>
          <w:lang w:val="en-US" w:eastAsia="zh-CN" w:bidi="ar-SA"/>
        </w:rPr>
        <w:t>严格按照竞选文件、采购合同及竞选人的响应文件中的商务要求内容约定标准进行验收。</w:t>
      </w:r>
    </w:p>
    <w:p w14:paraId="5B56E4AB">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8.11履约验收标准：参照政府采购相关法律法规以及《财政部关于进一步加强政府采购需求和履约验收管理的指导意见》(财库〔2016〕205号)文件的相关要求进行验收。同时按国家有关规定、采购文件的质量要求和技术指标、成交竞选人的响应文件及承诺与合同约定进行验收。</w:t>
      </w:r>
    </w:p>
    <w:p w14:paraId="2A26FDE7">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3"/>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8.12履约验收其他事项：</w:t>
      </w:r>
      <w:r>
        <w:rPr>
          <w:rFonts w:hint="eastAsia" w:ascii="仿宋" w:hAnsi="仿宋" w:eastAsia="仿宋" w:cs="仿宋"/>
          <w:snapToGrid/>
          <w:color w:val="auto"/>
          <w:kern w:val="2"/>
          <w:sz w:val="24"/>
          <w:szCs w:val="24"/>
          <w:highlight w:val="none"/>
          <w:u w:val="none"/>
          <w:shd w:val="clear" w:color="auto" w:fill="auto"/>
          <w:lang w:val="en-US" w:eastAsia="zh-CN" w:bidi="ar-SA"/>
        </w:rPr>
        <w:t>无。</w:t>
      </w:r>
    </w:p>
    <w:p w14:paraId="39B51E0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3"/>
        <w:rPr>
          <w:rFonts w:hint="eastAsia" w:ascii="仿宋" w:hAnsi="仿宋" w:eastAsia="仿宋" w:cs="仿宋"/>
          <w:b w:val="0"/>
          <w:bCs w:val="0"/>
          <w:snapToGrid/>
          <w:color w:val="auto"/>
          <w:kern w:val="0"/>
          <w:sz w:val="24"/>
          <w:szCs w:val="24"/>
          <w:highlight w:val="none"/>
          <w:shd w:val="clear" w:color="auto" w:fill="auto"/>
          <w:lang w:val="en-US" w:eastAsia="zh-CN" w:bidi="ar"/>
        </w:rPr>
      </w:pPr>
      <w:r>
        <w:rPr>
          <w:rFonts w:hint="eastAsia" w:ascii="仿宋" w:hAnsi="仿宋" w:eastAsia="仿宋" w:cs="仿宋"/>
          <w:snapToGrid/>
          <w:color w:val="auto"/>
          <w:kern w:val="2"/>
          <w:sz w:val="24"/>
          <w:szCs w:val="24"/>
          <w:highlight w:val="none"/>
          <w:shd w:val="clear" w:color="auto" w:fill="auto"/>
          <w:lang w:val="en-US" w:eastAsia="zh-CN" w:bidi="ar-SA"/>
        </w:rPr>
        <w:t>8.13验收交付标准和方法：必须与响应文件应答的要求一致。</w:t>
      </w:r>
    </w:p>
    <w:p w14:paraId="2F92C739">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center"/>
        <w:rPr>
          <w:rFonts w:hint="eastAsia" w:ascii="仿宋" w:hAnsi="仿宋" w:eastAsia="仿宋" w:cs="仿宋"/>
          <w:snapToGrid/>
          <w:color w:val="000000"/>
          <w:kern w:val="0"/>
          <w:sz w:val="24"/>
          <w:szCs w:val="24"/>
          <w:highlight w:val="none"/>
          <w:u w:val="none"/>
          <w:lang w:val="en-US" w:eastAsia="zh-CN" w:bidi="ar"/>
        </w:rPr>
      </w:pPr>
      <w:r>
        <w:rPr>
          <w:rFonts w:hint="eastAsia" w:ascii="仿宋" w:hAnsi="仿宋" w:eastAsia="仿宋" w:cs="仿宋"/>
          <w:b w:val="0"/>
          <w:bCs w:val="0"/>
          <w:snapToGrid/>
          <w:color w:val="auto"/>
          <w:kern w:val="0"/>
          <w:sz w:val="24"/>
          <w:szCs w:val="24"/>
          <w:highlight w:val="none"/>
          <w:shd w:val="clear" w:color="auto" w:fill="auto"/>
          <w:lang w:val="en-US" w:eastAsia="zh-CN" w:bidi="ar"/>
        </w:rPr>
        <w:t>9、其他未尽事宜以合同中约定为准。</w:t>
      </w:r>
      <w:r>
        <w:rPr>
          <w:rFonts w:hint="eastAsia" w:ascii="仿宋" w:hAnsi="仿宋" w:eastAsia="仿宋" w:cs="仿宋"/>
          <w:b/>
          <w:bCs/>
          <w:snapToGrid/>
          <w:color w:val="000000"/>
          <w:kern w:val="2"/>
          <w:sz w:val="24"/>
          <w:szCs w:val="24"/>
          <w:highlight w:val="none"/>
          <w:lang w:val="en-US" w:eastAsia="zh-CN" w:bidi="ar-SA"/>
        </w:rPr>
        <w:t xml:space="preserve"> </w:t>
      </w:r>
    </w:p>
    <w:p w14:paraId="08306BBC">
      <w:pPr>
        <w:keepNext w:val="0"/>
        <w:keepLines w:val="0"/>
        <w:pageBreakBefore w:val="0"/>
        <w:wordWrap/>
        <w:overflowPunct/>
        <w:topLinePunct w:val="0"/>
        <w:bidi w:val="0"/>
        <w:spacing w:before="0" w:beforeLines="0" w:after="0" w:afterLines="0" w:line="240" w:lineRule="auto"/>
        <w:ind w:firstLine="480" w:firstLineChars="200"/>
        <w:jc w:val="left"/>
        <w:outlineLvl w:val="1"/>
        <w:rPr>
          <w:rFonts w:hint="eastAsia" w:ascii="仿宋" w:hAnsi="仿宋" w:eastAsia="仿宋" w:cs="仿宋"/>
          <w:sz w:val="24"/>
          <w:szCs w:val="24"/>
          <w:highlight w:val="none"/>
          <w:lang w:val="en-US" w:eastAsia="zh-Hans"/>
        </w:rPr>
      </w:pPr>
      <w:r>
        <w:rPr>
          <w:rFonts w:hint="eastAsia" w:ascii="仿宋" w:hAnsi="仿宋" w:eastAsia="仿宋" w:cs="仿宋"/>
          <w:b/>
          <w:sz w:val="24"/>
          <w:szCs w:val="24"/>
          <w:highlight w:val="none"/>
          <w:lang w:val="en-US" w:eastAsia="zh-Hans"/>
        </w:rPr>
        <w:t>★3.4.其他要求</w:t>
      </w:r>
    </w:p>
    <w:p w14:paraId="6B880D48">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snapToGrid/>
          <w:color w:val="auto"/>
          <w:kern w:val="2"/>
          <w:sz w:val="24"/>
          <w:szCs w:val="24"/>
          <w:highlight w:val="none"/>
          <w:shd w:val="clear" w:color="auto" w:fill="auto"/>
          <w:lang w:val="en-US" w:eastAsia="zh-CN" w:bidi="ar-SA"/>
        </w:rPr>
      </w:pPr>
      <w:r>
        <w:rPr>
          <w:rFonts w:hint="eastAsia" w:ascii="仿宋" w:hAnsi="仿宋" w:eastAsia="仿宋" w:cs="仿宋"/>
          <w:b w:val="0"/>
          <w:bCs/>
          <w:snapToGrid/>
          <w:kern w:val="2"/>
          <w:sz w:val="24"/>
          <w:szCs w:val="24"/>
          <w:highlight w:val="none"/>
          <w:lang w:val="en-US" w:eastAsia="zh-CN" w:bidi="ar-SA"/>
        </w:rPr>
        <w:t>一、</w:t>
      </w:r>
      <w:r>
        <w:rPr>
          <w:rFonts w:hint="eastAsia" w:ascii="仿宋" w:hAnsi="仿宋" w:eastAsia="仿宋" w:cs="仿宋"/>
          <w:b w:val="0"/>
          <w:bCs/>
          <w:snapToGrid/>
          <w:color w:val="auto"/>
          <w:kern w:val="2"/>
          <w:sz w:val="24"/>
          <w:szCs w:val="24"/>
          <w:highlight w:val="none"/>
          <w:shd w:val="clear" w:color="auto" w:fill="auto"/>
          <w:lang w:val="en-US" w:eastAsia="zh-CN" w:bidi="ar-SA"/>
        </w:rPr>
        <w:t>违约责任与解决争议的方法：</w:t>
      </w:r>
    </w:p>
    <w:p w14:paraId="77E2CCB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snapToGrid/>
          <w:color w:val="auto"/>
          <w:kern w:val="2"/>
          <w:sz w:val="24"/>
          <w:szCs w:val="24"/>
          <w:highlight w:val="none"/>
          <w:shd w:val="clear" w:color="auto" w:fill="auto"/>
          <w:lang w:val="en-US" w:eastAsia="zh-CN" w:bidi="ar-SA"/>
        </w:rPr>
      </w:pPr>
      <w:r>
        <w:rPr>
          <w:rFonts w:hint="eastAsia" w:ascii="仿宋" w:hAnsi="仿宋" w:eastAsia="仿宋" w:cs="仿宋"/>
          <w:b w:val="0"/>
          <w:bCs/>
          <w:snapToGrid/>
          <w:kern w:val="2"/>
          <w:sz w:val="24"/>
          <w:szCs w:val="24"/>
          <w:highlight w:val="none"/>
          <w:lang w:val="en-US" w:eastAsia="zh-CN" w:bidi="ar-SA"/>
        </w:rPr>
        <w:t>1、</w:t>
      </w:r>
      <w:r>
        <w:rPr>
          <w:rFonts w:hint="eastAsia" w:ascii="仿宋" w:hAnsi="仿宋" w:eastAsia="仿宋" w:cs="仿宋"/>
          <w:b w:val="0"/>
          <w:bCs/>
          <w:snapToGrid/>
          <w:color w:val="auto"/>
          <w:kern w:val="2"/>
          <w:sz w:val="24"/>
          <w:szCs w:val="24"/>
          <w:highlight w:val="none"/>
          <w:shd w:val="clear" w:color="auto" w:fill="auto"/>
          <w:lang w:val="en-US" w:eastAsia="zh-CN" w:bidi="ar-SA"/>
        </w:rPr>
        <w:t xml:space="preserve">违约责任 </w:t>
      </w:r>
    </w:p>
    <w:p w14:paraId="61ED6E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snapToGrid/>
          <w:color w:val="auto"/>
          <w:kern w:val="2"/>
          <w:sz w:val="24"/>
          <w:szCs w:val="24"/>
          <w:highlight w:val="none"/>
          <w:u w:val="none"/>
          <w:shd w:val="clear" w:color="auto" w:fill="auto"/>
          <w:lang w:val="en-US" w:eastAsia="zh-CN" w:bidi="ar-SA"/>
        </w:rPr>
      </w:pPr>
      <w:r>
        <w:rPr>
          <w:rFonts w:hint="eastAsia" w:ascii="仿宋" w:hAnsi="仿宋" w:eastAsia="仿宋" w:cs="仿宋"/>
          <w:b w:val="0"/>
          <w:bCs/>
          <w:snapToGrid/>
          <w:color w:val="auto"/>
          <w:kern w:val="2"/>
          <w:sz w:val="24"/>
          <w:szCs w:val="24"/>
          <w:highlight w:val="none"/>
          <w:u w:val="none"/>
          <w:shd w:val="clear" w:fill="auto"/>
          <w:lang w:val="en-US" w:eastAsia="zh-CN" w:bidi="ar-SA"/>
        </w:rPr>
        <w:t>①</w:t>
      </w:r>
      <w:r>
        <w:rPr>
          <w:rFonts w:hint="eastAsia" w:ascii="仿宋" w:hAnsi="仿宋" w:eastAsia="仿宋" w:cs="仿宋"/>
          <w:b w:val="0"/>
          <w:bCs/>
          <w:snapToGrid/>
          <w:color w:val="auto"/>
          <w:kern w:val="2"/>
          <w:sz w:val="24"/>
          <w:szCs w:val="24"/>
          <w:highlight w:val="none"/>
          <w:u w:val="none"/>
          <w:shd w:val="clear" w:color="auto" w:fill="auto"/>
          <w:lang w:val="en-US" w:eastAsia="zh-CN" w:bidi="ar-SA"/>
        </w:rPr>
        <w:t>如成交中选人不能按时完成的，每逾期一天向采购人支付合同金额1%的违约金，逾期5天仍不能完成的，采购人有权单方面终止合同、并要求成交中选人退还已支付费用，同时成交中选人还须向采购人支付合同金额5%的违约金，且还需根据给采购人造成的损失情况向采购人赔偿。</w:t>
      </w:r>
    </w:p>
    <w:p w14:paraId="5AAE65A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snapToGrid/>
          <w:color w:val="auto"/>
          <w:kern w:val="2"/>
          <w:sz w:val="24"/>
          <w:szCs w:val="24"/>
          <w:highlight w:val="none"/>
          <w:u w:val="none"/>
          <w:shd w:val="clear" w:color="auto" w:fill="auto"/>
          <w:lang w:val="en-US" w:eastAsia="zh-CN" w:bidi="ar-SA"/>
        </w:rPr>
      </w:pPr>
      <w:r>
        <w:rPr>
          <w:rFonts w:hint="eastAsia" w:ascii="仿宋" w:hAnsi="仿宋" w:eastAsia="仿宋" w:cs="仿宋"/>
          <w:b w:val="0"/>
          <w:bCs/>
          <w:snapToGrid/>
          <w:color w:val="auto"/>
          <w:kern w:val="2"/>
          <w:sz w:val="24"/>
          <w:szCs w:val="24"/>
          <w:highlight w:val="none"/>
          <w:u w:val="none"/>
          <w:shd w:val="clear" w:fill="auto"/>
          <w:lang w:val="en-US" w:eastAsia="zh-CN" w:bidi="ar-SA"/>
        </w:rPr>
        <w:t>②</w:t>
      </w:r>
      <w:r>
        <w:rPr>
          <w:rFonts w:hint="eastAsia" w:ascii="仿宋" w:hAnsi="仿宋" w:eastAsia="仿宋" w:cs="仿宋"/>
          <w:b w:val="0"/>
          <w:bCs/>
          <w:snapToGrid/>
          <w:color w:val="auto"/>
          <w:kern w:val="2"/>
          <w:sz w:val="24"/>
          <w:szCs w:val="24"/>
          <w:highlight w:val="none"/>
          <w:u w:val="none"/>
          <w:shd w:val="clear" w:color="auto" w:fill="auto"/>
          <w:lang w:val="en-US" w:eastAsia="zh-CN" w:bidi="ar-SA"/>
        </w:rPr>
        <w:t>若成交中选人的服务与竞选文件要求不符或履约过程中有违约行为的，采购人有权要求成交中选人退还已支付费用。</w:t>
      </w:r>
    </w:p>
    <w:p w14:paraId="499A943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snapToGrid/>
          <w:color w:val="auto"/>
          <w:kern w:val="2"/>
          <w:sz w:val="24"/>
          <w:szCs w:val="24"/>
          <w:highlight w:val="none"/>
          <w:u w:val="none"/>
          <w:shd w:val="clear" w:color="auto" w:fill="auto"/>
          <w:lang w:val="en-US" w:eastAsia="zh-CN" w:bidi="ar-SA"/>
        </w:rPr>
      </w:pPr>
      <w:r>
        <w:rPr>
          <w:rFonts w:hint="eastAsia" w:ascii="仿宋" w:hAnsi="仿宋" w:eastAsia="仿宋" w:cs="仿宋"/>
          <w:b w:val="0"/>
          <w:bCs/>
          <w:snapToGrid/>
          <w:color w:val="auto"/>
          <w:kern w:val="2"/>
          <w:sz w:val="24"/>
          <w:szCs w:val="24"/>
          <w:highlight w:val="none"/>
          <w:u w:val="none"/>
          <w:shd w:val="clear" w:fill="auto"/>
          <w:lang w:val="en-US" w:eastAsia="zh-CN" w:bidi="ar-SA"/>
        </w:rPr>
        <w:t>③</w:t>
      </w:r>
      <w:r>
        <w:rPr>
          <w:rFonts w:hint="eastAsia" w:ascii="仿宋" w:hAnsi="仿宋" w:eastAsia="仿宋" w:cs="仿宋"/>
          <w:b w:val="0"/>
          <w:bCs/>
          <w:snapToGrid/>
          <w:color w:val="auto"/>
          <w:kern w:val="2"/>
          <w:sz w:val="24"/>
          <w:szCs w:val="24"/>
          <w:highlight w:val="none"/>
          <w:u w:val="none"/>
          <w:shd w:val="clear" w:color="auto" w:fill="auto"/>
          <w:lang w:val="en-US" w:eastAsia="zh-CN" w:bidi="ar-SA"/>
        </w:rPr>
        <w:t>其他违约责任按照《中华人民共和国民法典》相关条款执行。</w:t>
      </w:r>
    </w:p>
    <w:p w14:paraId="07EDA42D">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val="0"/>
          <w:snapToGrid/>
          <w:color w:val="auto"/>
          <w:kern w:val="2"/>
          <w:sz w:val="24"/>
          <w:szCs w:val="24"/>
          <w:highlight w:val="none"/>
          <w:shd w:val="clear" w:color="auto" w:fill="auto"/>
          <w:lang w:val="en-US" w:eastAsia="zh-CN" w:bidi="ar-SA"/>
        </w:rPr>
      </w:pPr>
      <w:r>
        <w:rPr>
          <w:rFonts w:hint="eastAsia" w:ascii="仿宋" w:hAnsi="仿宋" w:eastAsia="仿宋" w:cs="仿宋"/>
          <w:b w:val="0"/>
          <w:bCs/>
          <w:snapToGrid/>
          <w:kern w:val="2"/>
          <w:sz w:val="24"/>
          <w:szCs w:val="24"/>
          <w:highlight w:val="none"/>
          <w:lang w:val="en-US" w:eastAsia="zh-CN" w:bidi="ar-SA"/>
        </w:rPr>
        <w:t>2、</w:t>
      </w:r>
      <w:r>
        <w:rPr>
          <w:rFonts w:hint="eastAsia" w:ascii="仿宋" w:hAnsi="仿宋" w:eastAsia="仿宋" w:cs="仿宋"/>
          <w:b w:val="0"/>
          <w:bCs/>
          <w:snapToGrid/>
          <w:color w:val="auto"/>
          <w:kern w:val="2"/>
          <w:sz w:val="24"/>
          <w:szCs w:val="24"/>
          <w:highlight w:val="none"/>
          <w:shd w:val="clear" w:color="auto" w:fill="auto"/>
          <w:lang w:val="en-US" w:eastAsia="zh-CN" w:bidi="ar-SA"/>
        </w:rPr>
        <w:t>解决合</w:t>
      </w:r>
      <w:r>
        <w:rPr>
          <w:rFonts w:hint="eastAsia" w:ascii="仿宋" w:hAnsi="仿宋" w:eastAsia="仿宋" w:cs="仿宋"/>
          <w:b w:val="0"/>
          <w:bCs w:val="0"/>
          <w:snapToGrid/>
          <w:color w:val="auto"/>
          <w:kern w:val="2"/>
          <w:sz w:val="24"/>
          <w:szCs w:val="24"/>
          <w:highlight w:val="none"/>
          <w:shd w:val="clear" w:color="auto" w:fill="auto"/>
          <w:lang w:val="en-US" w:eastAsia="zh-CN" w:bidi="ar-SA"/>
        </w:rPr>
        <w:t xml:space="preserve">同纠纷的方式 </w:t>
      </w:r>
    </w:p>
    <w:p w14:paraId="77ABD05D">
      <w:pPr>
        <w:keepNext w:val="0"/>
        <w:keepLines w:val="0"/>
        <w:pageBreakBefore w:val="0"/>
        <w:wordWrap/>
        <w:overflowPunct/>
        <w:topLinePunct w:val="0"/>
        <w:bidi w:val="0"/>
        <w:spacing w:line="240" w:lineRule="auto"/>
        <w:ind w:firstLine="480" w:firstLineChars="200"/>
        <w:rPr>
          <w:rFonts w:hint="eastAsia" w:ascii="仿宋" w:hAnsi="仿宋" w:eastAsia="仿宋" w:cs="仿宋"/>
          <w:sz w:val="24"/>
          <w:szCs w:val="24"/>
        </w:rPr>
      </w:pPr>
      <w:r>
        <w:rPr>
          <w:rFonts w:hint="eastAsia" w:ascii="仿宋" w:hAnsi="仿宋" w:eastAsia="仿宋" w:cs="仿宋"/>
          <w:b w:val="0"/>
          <w:bCs w:val="0"/>
          <w:snapToGrid/>
          <w:color w:val="auto"/>
          <w:kern w:val="2"/>
          <w:sz w:val="24"/>
          <w:szCs w:val="24"/>
          <w:highlight w:val="none"/>
          <w:shd w:val="clear" w:color="auto" w:fill="auto"/>
          <w:lang w:val="en-US" w:eastAsia="zh-CN" w:bidi="ar-SA"/>
        </w:rPr>
        <w:t>合同履行期间，若双方发生争议，可协商或由有关部门调解解决，协商或调解不成的，可向采购人所在地人民法院依法提起诉讼。</w:t>
      </w:r>
    </w:p>
    <w:sectPr>
      <w:pgSz w:w="11850" w:h="16783"/>
      <w:pgMar w:top="1417" w:right="1417" w:bottom="1417" w:left="1417" w:header="1644" w:footer="992" w:gutter="0"/>
      <w:pgNumType w:fmt="decimal" w:start="1"/>
      <w:cols w:space="0" w:num="1"/>
      <w:rtlGutter w:val="0"/>
      <w:docGrid w:type="linesAndChars" w:linePitch="46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18030">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gutterAtTop/>
  <w:documentProtection w:enforcement="0"/>
  <w:defaultTabStop w:val="420"/>
  <w:drawingGridVerticalSpacing w:val="156"/>
  <w:displayHorizontalDrawingGridEvery w:val="1"/>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DE75CD"/>
    <w:rsid w:val="063053A6"/>
    <w:rsid w:val="09D71932"/>
    <w:rsid w:val="0EDE75CD"/>
    <w:rsid w:val="189F65F1"/>
    <w:rsid w:val="488B6342"/>
    <w:rsid w:val="53D8021B"/>
    <w:rsid w:val="70D77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方正仿宋_GB18030" w:cs="Arial"/>
      <w:snapToGrid w:val="0"/>
      <w:color w:val="000000"/>
      <w:kern w:val="0"/>
      <w:sz w:val="28"/>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7890</Words>
  <Characters>8317</Characters>
  <Lines>0</Lines>
  <Paragraphs>0</Paragraphs>
  <TotalTime>0</TotalTime>
  <ScaleCrop>false</ScaleCrop>
  <LinksUpToDate>false</LinksUpToDate>
  <CharactersWithSpaces>8324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2025-02-26T11:18:00Z</dcterms:created>
  <dc:creator>SJ</dc:creator>
  <cp:lastModifiedBy>郑yueJun</cp:lastModifiedBy>
  <dcterms:modified xsi:type="dcterms:W3CDTF">2025-03-06T09:34:26Z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5B03AAA7D8AB4378B39D99EF17EA6F65_13</vt:lpwstr>
  </property>
  <property fmtid="{D5CDD505-2E9C-101B-9397-08002B2CF9AE}" pid="4" name="KSOTemplateDocerSaveRecord">
    <vt:lpwstr>eyJoZGlkIjoiNDQ0ZGEzNDA1Mzk1NGMxNTM2OGY4YzIyNzI3YTljNDMiLCJ1c2VySWQiOiIyNTYwMTc2MTQifQ==</vt:lpwstr>
  </property>
</Properties>
</file>