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38525D">
      <w:pPr>
        <w:pStyle w:val="5"/>
        <w:jc w:val="center"/>
        <w:outlineLvl w:val="0"/>
        <w:rPr>
          <w:rFonts w:hint="eastAsia" w:ascii="仿宋" w:hAnsi="仿宋" w:eastAsia="仿宋" w:cs="仿宋"/>
          <w:highlight w:val="none"/>
        </w:rPr>
      </w:pPr>
      <w:bookmarkStart w:id="1" w:name="_GoBack"/>
      <w:bookmarkStart w:id="0" w:name="_Toc27801"/>
      <w:r>
        <w:rPr>
          <w:rFonts w:hint="eastAsia" w:ascii="仿宋" w:hAnsi="仿宋" w:eastAsia="仿宋" w:cs="仿宋"/>
          <w:b/>
          <w:sz w:val="36"/>
          <w:highlight w:val="none"/>
        </w:rPr>
        <w:t>第三章 技术、服务及其他要求</w:t>
      </w:r>
      <w:bookmarkEnd w:id="0"/>
    </w:p>
    <w:bookmarkEnd w:id="1"/>
    <w:p w14:paraId="0850A5A1">
      <w:pPr>
        <w:pStyle w:val="5"/>
        <w:ind w:firstLine="480"/>
        <w:jc w:val="left"/>
        <w:rPr>
          <w:rFonts w:hint="eastAsia" w:ascii="仿宋" w:hAnsi="仿宋" w:eastAsia="仿宋" w:cs="仿宋"/>
          <w:highlight w:val="none"/>
        </w:rPr>
      </w:pPr>
      <w:r>
        <w:rPr>
          <w:rFonts w:hint="eastAsia" w:ascii="仿宋" w:hAnsi="仿宋" w:eastAsia="仿宋" w:cs="仿宋"/>
          <w:highlight w:val="none"/>
        </w:rPr>
        <w:t>（注：本章的技术、服务及其他要求中，带“★”的要求为实质性要求。</w:t>
      </w:r>
      <w:r>
        <w:rPr>
          <w:rFonts w:hint="eastAsia" w:ascii="仿宋" w:hAnsi="仿宋" w:eastAsia="仿宋" w:cs="仿宋"/>
          <w:highlight w:val="none"/>
          <w:lang w:eastAsia="zh-CN"/>
        </w:rPr>
        <w:t>采购人</w:t>
      </w:r>
      <w:r>
        <w:rPr>
          <w:rFonts w:hint="eastAsia" w:ascii="仿宋" w:hAnsi="仿宋" w:eastAsia="仿宋" w:cs="仿宋"/>
          <w:highlight w:val="none"/>
        </w:rPr>
        <w:t>、代理机构应当根据项目实际要求合理设定，并在第五章符合性审查中明确响应要求。）</w:t>
      </w:r>
    </w:p>
    <w:p w14:paraId="048B5B3D">
      <w:pPr>
        <w:pStyle w:val="5"/>
        <w:jc w:val="left"/>
        <w:outlineLvl w:val="1"/>
        <w:rPr>
          <w:rFonts w:hint="eastAsia" w:ascii="仿宋" w:hAnsi="仿宋" w:eastAsia="仿宋" w:cs="仿宋"/>
          <w:highlight w:val="none"/>
          <w:lang w:eastAsia="zh-CN"/>
        </w:rPr>
      </w:pPr>
      <w:r>
        <w:rPr>
          <w:rFonts w:hint="eastAsia" w:ascii="仿宋" w:hAnsi="仿宋" w:eastAsia="仿宋" w:cs="仿宋"/>
          <w:b/>
          <w:sz w:val="28"/>
          <w:highlight w:val="none"/>
        </w:rPr>
        <w:t>3.1.</w:t>
      </w:r>
      <w:r>
        <w:rPr>
          <w:rFonts w:hint="eastAsia" w:ascii="仿宋" w:hAnsi="仿宋" w:eastAsia="仿宋" w:cs="仿宋"/>
          <w:b/>
          <w:sz w:val="28"/>
          <w:highlight w:val="none"/>
          <w:lang w:val="en-US" w:eastAsia="zh-CN"/>
        </w:rPr>
        <w:t>标的情况</w:t>
      </w:r>
    </w:p>
    <w:p w14:paraId="26EEB938">
      <w:pPr>
        <w:pStyle w:val="5"/>
        <w:jc w:val="left"/>
        <w:outlineLvl w:val="2"/>
        <w:rPr>
          <w:rFonts w:hint="eastAsia" w:ascii="仿宋" w:hAnsi="仿宋" w:eastAsia="仿宋" w:cs="仿宋"/>
          <w:b/>
          <w:bCs/>
          <w:i w:val="0"/>
          <w:iCs w:val="0"/>
        </w:rPr>
      </w:pPr>
      <w:r>
        <w:rPr>
          <w:rFonts w:hint="eastAsia" w:ascii="仿宋" w:hAnsi="仿宋" w:eastAsia="仿宋" w:cs="仿宋"/>
          <w:b/>
          <w:bCs/>
          <w:i w:val="0"/>
          <w:iCs w:val="0"/>
          <w:sz w:val="24"/>
          <w:szCs w:val="24"/>
        </w:rPr>
        <w:t>采购包1：</w:t>
      </w:r>
    </w:p>
    <w:p w14:paraId="6B0BFD91">
      <w:pPr>
        <w:pStyle w:val="5"/>
        <w:ind w:firstLine="480"/>
        <w:jc w:val="left"/>
        <w:rPr>
          <w:rFonts w:hint="eastAsia" w:ascii="仿宋" w:hAnsi="仿宋" w:eastAsia="仿宋" w:cs="仿宋"/>
        </w:rPr>
      </w:pPr>
      <w:r>
        <w:rPr>
          <w:rFonts w:hint="eastAsia" w:ascii="仿宋" w:hAnsi="仿宋" w:eastAsia="仿宋" w:cs="仿宋"/>
        </w:rPr>
        <w:t>★</w:t>
      </w:r>
      <w:r>
        <w:rPr>
          <w:rFonts w:hint="eastAsia" w:ascii="仿宋" w:hAnsi="仿宋" w:eastAsia="仿宋" w:cs="仿宋"/>
          <w:lang w:val="en-US" w:eastAsia="zh-CN"/>
        </w:rPr>
        <w:t>本项目提供的产品，必须为“四川省药品和医用耗材招采管理系统”中已挂网产品（不含正在挂网和备案的产品）。</w:t>
      </w:r>
    </w:p>
    <w:tbl>
      <w:tblPr>
        <w:tblStyle w:val="2"/>
        <w:tblW w:w="4998"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79"/>
        <w:gridCol w:w="631"/>
        <w:gridCol w:w="2441"/>
        <w:gridCol w:w="1656"/>
        <w:gridCol w:w="1656"/>
        <w:gridCol w:w="1656"/>
      </w:tblGrid>
      <w:tr w14:paraId="063096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3" w:hRule="atLeast"/>
          <w:jc w:val="center"/>
        </w:trPr>
        <w:tc>
          <w:tcPr>
            <w:tcW w:w="281" w:type="pct"/>
            <w:vAlign w:val="center"/>
          </w:tcPr>
          <w:p w14:paraId="464DF4A0">
            <w:pPr>
              <w:pStyle w:val="5"/>
              <w:jc w:val="center"/>
              <w:rPr>
                <w:rFonts w:hint="eastAsia" w:ascii="仿宋" w:hAnsi="仿宋" w:eastAsia="仿宋" w:cs="仿宋"/>
                <w:lang w:val="en-US" w:eastAsia="zh-CN"/>
              </w:rPr>
            </w:pPr>
            <w:r>
              <w:rPr>
                <w:rFonts w:hint="eastAsia" w:ascii="仿宋" w:hAnsi="仿宋" w:eastAsia="仿宋" w:cs="仿宋"/>
                <w:lang w:val="en-US" w:eastAsia="zh-CN"/>
              </w:rPr>
              <w:t>包号</w:t>
            </w:r>
          </w:p>
        </w:tc>
        <w:tc>
          <w:tcPr>
            <w:tcW w:w="370" w:type="pct"/>
            <w:vAlign w:val="center"/>
          </w:tcPr>
          <w:p w14:paraId="5DFB1238">
            <w:pPr>
              <w:pStyle w:val="5"/>
              <w:jc w:val="center"/>
              <w:rPr>
                <w:rFonts w:hint="eastAsia" w:ascii="仿宋" w:hAnsi="仿宋" w:eastAsia="仿宋" w:cs="仿宋"/>
                <w:lang w:val="en-US" w:eastAsia="zh-CN"/>
              </w:rPr>
            </w:pPr>
            <w:r>
              <w:rPr>
                <w:rFonts w:hint="eastAsia" w:ascii="仿宋" w:hAnsi="仿宋" w:eastAsia="仿宋" w:cs="仿宋"/>
                <w:lang w:val="en-US" w:eastAsia="zh-CN"/>
              </w:rPr>
              <w:t>编号</w:t>
            </w:r>
          </w:p>
        </w:tc>
        <w:tc>
          <w:tcPr>
            <w:tcW w:w="1431" w:type="pct"/>
            <w:vAlign w:val="center"/>
          </w:tcPr>
          <w:p w14:paraId="75479793">
            <w:pPr>
              <w:pStyle w:val="5"/>
              <w:jc w:val="center"/>
              <w:rPr>
                <w:rFonts w:hint="eastAsia" w:ascii="仿宋" w:hAnsi="仿宋" w:eastAsia="仿宋" w:cs="仿宋"/>
                <w:lang w:val="en-US" w:eastAsia="zh-CN"/>
              </w:rPr>
            </w:pPr>
            <w:r>
              <w:rPr>
                <w:rFonts w:hint="eastAsia" w:ascii="仿宋" w:hAnsi="仿宋" w:eastAsia="仿宋" w:cs="仿宋"/>
                <w:lang w:val="en-US" w:eastAsia="zh-CN"/>
              </w:rPr>
              <w:t>标的名称</w:t>
            </w:r>
          </w:p>
        </w:tc>
        <w:tc>
          <w:tcPr>
            <w:tcW w:w="971" w:type="pct"/>
            <w:vAlign w:val="center"/>
          </w:tcPr>
          <w:p w14:paraId="04E8553B">
            <w:pPr>
              <w:pStyle w:val="5"/>
              <w:jc w:val="center"/>
              <w:rPr>
                <w:rFonts w:hint="eastAsia" w:ascii="仿宋" w:hAnsi="仿宋" w:eastAsia="仿宋" w:cs="仿宋"/>
                <w:lang w:val="en-US" w:eastAsia="zh-CN"/>
              </w:rPr>
            </w:pPr>
            <w:r>
              <w:rPr>
                <w:rFonts w:hint="eastAsia" w:ascii="仿宋" w:hAnsi="仿宋" w:eastAsia="仿宋" w:cs="仿宋"/>
                <w:lang w:val="en-US" w:eastAsia="zh-CN"/>
              </w:rPr>
              <w:t>★单价（元）</w:t>
            </w:r>
          </w:p>
        </w:tc>
        <w:tc>
          <w:tcPr>
            <w:tcW w:w="971" w:type="pct"/>
            <w:vAlign w:val="center"/>
          </w:tcPr>
          <w:p w14:paraId="1F8BE7D7">
            <w:pPr>
              <w:pStyle w:val="5"/>
              <w:jc w:val="center"/>
              <w:rPr>
                <w:rFonts w:hint="eastAsia" w:ascii="仿宋" w:hAnsi="仿宋" w:eastAsia="仿宋" w:cs="仿宋"/>
                <w:lang w:val="en-US" w:eastAsia="zh-CN"/>
              </w:rPr>
            </w:pPr>
            <w:r>
              <w:rPr>
                <w:rFonts w:hint="eastAsia" w:ascii="仿宋" w:hAnsi="仿宋" w:eastAsia="仿宋" w:cs="仿宋"/>
                <w:lang w:val="en-US" w:eastAsia="zh-CN"/>
              </w:rPr>
              <w:t>★计量单位</w:t>
            </w:r>
          </w:p>
        </w:tc>
        <w:tc>
          <w:tcPr>
            <w:tcW w:w="971" w:type="pct"/>
            <w:vAlign w:val="center"/>
          </w:tcPr>
          <w:p w14:paraId="01C98B4E">
            <w:pPr>
              <w:pStyle w:val="5"/>
              <w:jc w:val="center"/>
              <w:rPr>
                <w:rFonts w:hint="eastAsia" w:ascii="仿宋" w:hAnsi="仿宋" w:eastAsia="仿宋" w:cs="仿宋"/>
                <w:lang w:val="en-US" w:eastAsia="zh-CN"/>
              </w:rPr>
            </w:pPr>
            <w:r>
              <w:rPr>
                <w:rFonts w:hint="eastAsia" w:ascii="仿宋" w:hAnsi="仿宋" w:eastAsia="仿宋" w:cs="仿宋"/>
                <w:lang w:val="en-US" w:eastAsia="zh-CN"/>
              </w:rPr>
              <w:t>预算金额/最高限价（每年）（元）</w:t>
            </w:r>
          </w:p>
        </w:tc>
      </w:tr>
      <w:tr w14:paraId="670610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1" w:type="pct"/>
            <w:vMerge w:val="restart"/>
            <w:vAlign w:val="center"/>
          </w:tcPr>
          <w:p w14:paraId="0A3B8807">
            <w:pPr>
              <w:pStyle w:val="5"/>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1</w:t>
            </w:r>
          </w:p>
        </w:tc>
        <w:tc>
          <w:tcPr>
            <w:tcW w:w="370" w:type="pct"/>
            <w:vAlign w:val="center"/>
          </w:tcPr>
          <w:p w14:paraId="134B04C9">
            <w:pPr>
              <w:pStyle w:val="5"/>
              <w:jc w:val="center"/>
              <w:rPr>
                <w:rFonts w:hint="eastAsia" w:ascii="仿宋" w:hAnsi="仿宋" w:eastAsia="仿宋" w:cs="仿宋"/>
                <w:sz w:val="20"/>
                <w:szCs w:val="20"/>
                <w:lang w:val="en-US" w:eastAsia="zh-CN"/>
              </w:rPr>
            </w:pPr>
            <w:r>
              <w:rPr>
                <w:rFonts w:hint="eastAsia" w:ascii="仿宋" w:hAnsi="仿宋" w:eastAsia="仿宋" w:cs="仿宋"/>
                <w:sz w:val="20"/>
                <w:szCs w:val="20"/>
                <w:lang w:val="en-US" w:eastAsia="zh-CN"/>
              </w:rPr>
              <w:t>1</w:t>
            </w:r>
          </w:p>
        </w:tc>
        <w:tc>
          <w:tcPr>
            <w:tcW w:w="1431" w:type="pct"/>
            <w:vAlign w:val="center"/>
          </w:tcPr>
          <w:p w14:paraId="36E34CB6">
            <w:pPr>
              <w:spacing w:line="400" w:lineRule="exact"/>
              <w:jc w:val="center"/>
              <w:rPr>
                <w:rFonts w:hint="eastAsia" w:ascii="仿宋" w:hAnsi="仿宋" w:eastAsia="仿宋" w:cs="仿宋"/>
                <w:sz w:val="20"/>
                <w:szCs w:val="20"/>
                <w:lang w:val="en-US" w:eastAsia="zh-CN"/>
              </w:rPr>
            </w:pPr>
            <w:r>
              <w:rPr>
                <w:rFonts w:hint="eastAsia" w:ascii="仿宋" w:hAnsi="仿宋" w:eastAsia="仿宋" w:cs="仿宋"/>
                <w:b w:val="0"/>
                <w:bCs w:val="0"/>
                <w:color w:val="auto"/>
                <w:sz w:val="18"/>
                <w:szCs w:val="18"/>
                <w:highlight w:val="none"/>
                <w:shd w:val="clear" w:color="auto" w:fill="auto"/>
                <w:lang w:val="en-US" w:eastAsia="zh-CN"/>
              </w:rPr>
              <w:t>一次性使用热活检钳</w:t>
            </w:r>
          </w:p>
        </w:tc>
        <w:tc>
          <w:tcPr>
            <w:tcW w:w="971" w:type="pct"/>
            <w:vAlign w:val="center"/>
          </w:tcPr>
          <w:p w14:paraId="243A9074">
            <w:pPr>
              <w:spacing w:line="400" w:lineRule="exact"/>
              <w:jc w:val="center"/>
              <w:rPr>
                <w:rFonts w:hint="default" w:ascii="仿宋" w:hAnsi="仿宋" w:eastAsia="仿宋" w:cs="仿宋"/>
                <w:sz w:val="20"/>
                <w:szCs w:val="20"/>
                <w:lang w:val="en-US" w:eastAsia="zh-CN"/>
              </w:rPr>
            </w:pPr>
            <w:r>
              <w:rPr>
                <w:rFonts w:hint="eastAsia" w:ascii="仿宋" w:hAnsi="仿宋" w:eastAsia="仿宋" w:cs="仿宋"/>
                <w:b w:val="0"/>
                <w:bCs w:val="0"/>
                <w:color w:val="auto"/>
                <w:sz w:val="18"/>
                <w:szCs w:val="18"/>
                <w:highlight w:val="none"/>
                <w:shd w:val="clear" w:color="auto" w:fill="auto"/>
                <w:lang w:val="en-US" w:eastAsia="zh-CN"/>
              </w:rPr>
              <w:t>380</w:t>
            </w:r>
          </w:p>
        </w:tc>
        <w:tc>
          <w:tcPr>
            <w:tcW w:w="971" w:type="pct"/>
            <w:vAlign w:val="center"/>
          </w:tcPr>
          <w:p w14:paraId="51F47E19">
            <w:pPr>
              <w:spacing w:line="400" w:lineRule="exact"/>
              <w:jc w:val="center"/>
              <w:rPr>
                <w:rFonts w:hint="eastAsia" w:ascii="仿宋" w:hAnsi="仿宋" w:eastAsia="仿宋" w:cs="仿宋"/>
                <w:sz w:val="20"/>
                <w:szCs w:val="20"/>
                <w:lang w:val="en-US" w:eastAsia="zh-CN"/>
              </w:rPr>
            </w:pPr>
            <w:r>
              <w:rPr>
                <w:rFonts w:hint="eastAsia" w:ascii="仿宋" w:hAnsi="仿宋" w:eastAsia="仿宋" w:cs="仿宋"/>
                <w:b w:val="0"/>
                <w:bCs w:val="0"/>
                <w:color w:val="auto"/>
                <w:sz w:val="20"/>
                <w:szCs w:val="20"/>
                <w:highlight w:val="none"/>
                <w:shd w:val="clear" w:color="auto" w:fill="auto"/>
                <w:lang w:val="en-US" w:eastAsia="zh-CN"/>
              </w:rPr>
              <w:t>个</w:t>
            </w:r>
          </w:p>
        </w:tc>
        <w:tc>
          <w:tcPr>
            <w:tcW w:w="971" w:type="pct"/>
            <w:vAlign w:val="center"/>
          </w:tcPr>
          <w:p w14:paraId="262B2819">
            <w:pPr>
              <w:spacing w:line="400" w:lineRule="exact"/>
              <w:jc w:val="center"/>
              <w:rPr>
                <w:rFonts w:hint="eastAsia" w:ascii="仿宋" w:hAnsi="仿宋" w:eastAsia="仿宋" w:cs="仿宋"/>
                <w:sz w:val="20"/>
                <w:szCs w:val="20"/>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r w14:paraId="3E24B4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81" w:type="pct"/>
            <w:vMerge w:val="continue"/>
            <w:vAlign w:val="center"/>
          </w:tcPr>
          <w:p w14:paraId="15A8D6C3">
            <w:pPr>
              <w:pStyle w:val="5"/>
              <w:jc w:val="center"/>
              <w:rPr>
                <w:rFonts w:hint="eastAsia" w:ascii="仿宋" w:hAnsi="仿宋" w:eastAsia="仿宋" w:cs="仿宋"/>
                <w:sz w:val="21"/>
                <w:szCs w:val="21"/>
                <w:lang w:val="en-US" w:eastAsia="zh-CN"/>
              </w:rPr>
            </w:pPr>
          </w:p>
        </w:tc>
        <w:tc>
          <w:tcPr>
            <w:tcW w:w="370" w:type="pct"/>
            <w:vAlign w:val="center"/>
          </w:tcPr>
          <w:p w14:paraId="60F05CA1">
            <w:pPr>
              <w:pStyle w:val="5"/>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2</w:t>
            </w:r>
          </w:p>
        </w:tc>
        <w:tc>
          <w:tcPr>
            <w:tcW w:w="1431" w:type="pct"/>
            <w:vAlign w:val="center"/>
          </w:tcPr>
          <w:p w14:paraId="262A7280">
            <w:pPr>
              <w:spacing w:line="400" w:lineRule="exact"/>
              <w:jc w:val="center"/>
              <w:rPr>
                <w:rFonts w:hint="eastAsia" w:ascii="仿宋" w:hAnsi="仿宋" w:eastAsia="仿宋" w:cs="仿宋"/>
                <w:sz w:val="20"/>
                <w:szCs w:val="20"/>
                <w:lang w:val="en-US" w:eastAsia="zh-CN"/>
              </w:rPr>
            </w:pPr>
            <w:r>
              <w:rPr>
                <w:rFonts w:hint="eastAsia" w:ascii="仿宋" w:hAnsi="仿宋" w:eastAsia="仿宋" w:cs="仿宋"/>
                <w:b w:val="0"/>
                <w:bCs w:val="0"/>
                <w:color w:val="auto"/>
                <w:sz w:val="18"/>
                <w:szCs w:val="18"/>
                <w:highlight w:val="none"/>
                <w:shd w:val="clear" w:color="auto" w:fill="auto"/>
                <w:lang w:val="en-US" w:eastAsia="zh-CN"/>
              </w:rPr>
              <w:t>一次性内镜下液体输送喷洒管</w:t>
            </w:r>
          </w:p>
        </w:tc>
        <w:tc>
          <w:tcPr>
            <w:tcW w:w="971" w:type="pct"/>
            <w:vAlign w:val="center"/>
          </w:tcPr>
          <w:p w14:paraId="226D2DC0">
            <w:pPr>
              <w:spacing w:line="400" w:lineRule="exact"/>
              <w:jc w:val="center"/>
              <w:rPr>
                <w:rFonts w:hint="default" w:ascii="仿宋" w:hAnsi="仿宋" w:eastAsia="仿宋" w:cs="仿宋"/>
                <w:sz w:val="20"/>
                <w:szCs w:val="20"/>
                <w:lang w:val="en-US" w:eastAsia="zh-CN"/>
              </w:rPr>
            </w:pPr>
            <w:r>
              <w:rPr>
                <w:rFonts w:hint="eastAsia" w:ascii="仿宋" w:hAnsi="仿宋" w:eastAsia="仿宋" w:cs="仿宋"/>
                <w:b w:val="0"/>
                <w:bCs w:val="0"/>
                <w:color w:val="auto"/>
                <w:sz w:val="18"/>
                <w:szCs w:val="18"/>
                <w:highlight w:val="none"/>
                <w:shd w:val="clear" w:color="auto" w:fill="auto"/>
                <w:lang w:val="en-US" w:eastAsia="zh-CN"/>
              </w:rPr>
              <w:t>252</w:t>
            </w:r>
          </w:p>
        </w:tc>
        <w:tc>
          <w:tcPr>
            <w:tcW w:w="971" w:type="pct"/>
            <w:vAlign w:val="center"/>
          </w:tcPr>
          <w:p w14:paraId="1E2CE33D">
            <w:pPr>
              <w:spacing w:line="400" w:lineRule="exact"/>
              <w:jc w:val="center"/>
              <w:rPr>
                <w:rFonts w:hint="eastAsia" w:ascii="仿宋" w:hAnsi="仿宋" w:eastAsia="仿宋" w:cs="仿宋"/>
                <w:sz w:val="20"/>
                <w:szCs w:val="20"/>
                <w:lang w:val="en-US" w:eastAsia="zh-CN"/>
              </w:rPr>
            </w:pPr>
            <w:r>
              <w:rPr>
                <w:rFonts w:hint="eastAsia" w:ascii="仿宋" w:hAnsi="仿宋" w:eastAsia="仿宋" w:cs="仿宋"/>
                <w:b w:val="0"/>
                <w:bCs w:val="0"/>
                <w:color w:val="auto"/>
                <w:sz w:val="20"/>
                <w:szCs w:val="20"/>
                <w:highlight w:val="none"/>
                <w:shd w:val="clear" w:color="auto" w:fill="auto"/>
                <w:lang w:val="en-US" w:eastAsia="zh-CN"/>
              </w:rPr>
              <w:t>个</w:t>
            </w:r>
          </w:p>
        </w:tc>
        <w:tc>
          <w:tcPr>
            <w:tcW w:w="971" w:type="pct"/>
            <w:vAlign w:val="center"/>
          </w:tcPr>
          <w:p w14:paraId="404E2970">
            <w:pPr>
              <w:spacing w:line="400" w:lineRule="exact"/>
              <w:jc w:val="center"/>
              <w:rPr>
                <w:rFonts w:hint="eastAsia" w:ascii="仿宋" w:hAnsi="仿宋" w:eastAsia="仿宋" w:cs="仿宋"/>
                <w:sz w:val="20"/>
                <w:szCs w:val="20"/>
                <w:lang w:val="en-US" w:eastAsia="zh-CN"/>
              </w:rPr>
            </w:pPr>
            <w:r>
              <w:rPr>
                <w:rFonts w:hint="eastAsia" w:ascii="仿宋" w:hAnsi="仿宋" w:eastAsia="仿宋" w:cs="仿宋"/>
                <w:b w:val="0"/>
                <w:bCs w:val="0"/>
                <w:color w:val="auto"/>
                <w:sz w:val="20"/>
                <w:szCs w:val="20"/>
                <w:highlight w:val="none"/>
                <w:shd w:val="clear" w:color="auto" w:fill="auto"/>
                <w:lang w:val="en-US" w:eastAsia="zh-CN"/>
              </w:rPr>
              <w:t>据实结算</w:t>
            </w:r>
          </w:p>
        </w:tc>
      </w:tr>
    </w:tbl>
    <w:p w14:paraId="2420DD98">
      <w:pPr>
        <w:pStyle w:val="5"/>
        <w:ind w:firstLine="480"/>
        <w:jc w:val="left"/>
        <w:rPr>
          <w:rFonts w:hint="eastAsia" w:ascii="仿宋" w:hAnsi="仿宋" w:eastAsia="仿宋" w:cs="仿宋"/>
        </w:rPr>
      </w:pPr>
    </w:p>
    <w:p w14:paraId="179EBDA3">
      <w:pPr>
        <w:pStyle w:val="5"/>
        <w:ind w:firstLine="480"/>
        <w:jc w:val="left"/>
        <w:rPr>
          <w:rFonts w:hint="eastAsia" w:ascii="仿宋" w:hAnsi="仿宋" w:eastAsia="仿宋" w:cs="仿宋"/>
        </w:rPr>
      </w:pPr>
      <w:r>
        <w:rPr>
          <w:rFonts w:hint="eastAsia" w:ascii="仿宋" w:hAnsi="仿宋" w:eastAsia="仿宋" w:cs="仿宋"/>
        </w:rPr>
        <w:t>★注：</w:t>
      </w:r>
      <w:r>
        <w:rPr>
          <w:rFonts w:hint="eastAsia" w:ascii="仿宋" w:hAnsi="仿宋" w:eastAsia="仿宋" w:cs="仿宋"/>
          <w:lang w:eastAsia="zh-CN"/>
        </w:rPr>
        <w:t>竞选人</w:t>
      </w:r>
      <w:r>
        <w:rPr>
          <w:rFonts w:hint="eastAsia" w:ascii="仿宋" w:hAnsi="仿宋" w:eastAsia="仿宋" w:cs="仿宋"/>
        </w:rPr>
        <w:t>响应产品应当明确品牌和规格型号并指向唯一产品，不能指向唯一产品的，应通过报价表唯一产品说明栏补充说明。</w:t>
      </w:r>
    </w:p>
    <w:p w14:paraId="0ED2689D">
      <w:pPr>
        <w:pStyle w:val="5"/>
        <w:jc w:val="left"/>
        <w:rPr>
          <w:rFonts w:hint="eastAsia" w:ascii="仿宋" w:hAnsi="仿宋" w:eastAsia="仿宋" w:cs="仿宋"/>
        </w:rPr>
      </w:pPr>
    </w:p>
    <w:p w14:paraId="4FC78A64">
      <w:pPr>
        <w:pStyle w:val="5"/>
        <w:jc w:val="left"/>
        <w:outlineLvl w:val="1"/>
        <w:rPr>
          <w:rFonts w:hint="eastAsia" w:ascii="仿宋" w:hAnsi="仿宋" w:eastAsia="仿宋" w:cs="仿宋"/>
          <w:lang w:eastAsia="zh-CN"/>
        </w:rPr>
      </w:pPr>
      <w:r>
        <w:rPr>
          <w:rFonts w:hint="eastAsia" w:ascii="仿宋" w:hAnsi="仿宋" w:eastAsia="仿宋" w:cs="仿宋"/>
          <w:b/>
          <w:sz w:val="28"/>
        </w:rPr>
        <w:t>3.2.技术要求</w:t>
      </w:r>
    </w:p>
    <w:p w14:paraId="7196B1CD">
      <w:pPr>
        <w:pStyle w:val="5"/>
        <w:jc w:val="left"/>
        <w:outlineLvl w:val="2"/>
        <w:rPr>
          <w:rFonts w:hint="eastAsia" w:ascii="仿宋" w:hAnsi="仿宋" w:eastAsia="仿宋" w:cs="仿宋"/>
          <w:b/>
          <w:bCs/>
          <w:sz w:val="22"/>
          <w:szCs w:val="22"/>
        </w:rPr>
      </w:pPr>
      <w:r>
        <w:rPr>
          <w:rFonts w:hint="eastAsia" w:ascii="仿宋" w:hAnsi="仿宋" w:eastAsia="仿宋" w:cs="仿宋"/>
          <w:b/>
          <w:bCs/>
          <w:sz w:val="22"/>
          <w:szCs w:val="2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21"/>
        <w:gridCol w:w="1656"/>
        <w:gridCol w:w="1656"/>
        <w:gridCol w:w="2114"/>
        <w:gridCol w:w="1656"/>
        <w:gridCol w:w="919"/>
      </w:tblGrid>
      <w:tr w14:paraId="24AB77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17" w:hRule="atLeast"/>
        </w:trPr>
        <w:tc>
          <w:tcPr>
            <w:tcW w:w="521" w:type="dxa"/>
            <w:vAlign w:val="center"/>
          </w:tcPr>
          <w:p w14:paraId="28EBC841">
            <w:pPr>
              <w:pStyle w:val="5"/>
              <w:jc w:val="center"/>
              <w:rPr>
                <w:rFonts w:hint="eastAsia" w:ascii="仿宋" w:hAnsi="仿宋" w:eastAsia="仿宋" w:cs="仿宋"/>
              </w:rPr>
            </w:pPr>
            <w:r>
              <w:rPr>
                <w:rFonts w:hint="eastAsia" w:ascii="仿宋" w:hAnsi="仿宋" w:eastAsia="仿宋" w:cs="仿宋"/>
              </w:rPr>
              <w:t>序号</w:t>
            </w:r>
          </w:p>
        </w:tc>
        <w:tc>
          <w:tcPr>
            <w:tcW w:w="1656" w:type="dxa"/>
            <w:vAlign w:val="center"/>
          </w:tcPr>
          <w:p w14:paraId="43FF87F7">
            <w:pPr>
              <w:pStyle w:val="5"/>
              <w:jc w:val="center"/>
              <w:rPr>
                <w:rFonts w:hint="eastAsia" w:ascii="仿宋" w:hAnsi="仿宋" w:eastAsia="仿宋" w:cs="仿宋"/>
              </w:rPr>
            </w:pPr>
            <w:r>
              <w:rPr>
                <w:rFonts w:hint="eastAsia" w:ascii="仿宋" w:hAnsi="仿宋" w:eastAsia="仿宋" w:cs="仿宋"/>
                <w:lang w:val="en-US" w:eastAsia="zh-CN"/>
              </w:rPr>
              <w:t>名称</w:t>
            </w:r>
          </w:p>
        </w:tc>
        <w:tc>
          <w:tcPr>
            <w:tcW w:w="1656" w:type="dxa"/>
            <w:vAlign w:val="center"/>
          </w:tcPr>
          <w:p w14:paraId="4FB3F509">
            <w:pPr>
              <w:pStyle w:val="5"/>
              <w:jc w:val="center"/>
              <w:rPr>
                <w:rFonts w:hint="eastAsia" w:ascii="仿宋" w:hAnsi="仿宋" w:eastAsia="仿宋" w:cs="仿宋"/>
              </w:rPr>
            </w:pPr>
            <w:r>
              <w:rPr>
                <w:rFonts w:hint="eastAsia" w:ascii="仿宋" w:hAnsi="仿宋" w:eastAsia="仿宋" w:cs="仿宋"/>
                <w:lang w:val="en-US" w:eastAsia="zh-CN"/>
              </w:rPr>
              <w:t>医保耗材代码</w:t>
            </w:r>
          </w:p>
        </w:tc>
        <w:tc>
          <w:tcPr>
            <w:tcW w:w="2114" w:type="dxa"/>
            <w:vAlign w:val="center"/>
          </w:tcPr>
          <w:p w14:paraId="61CFD4B0">
            <w:pPr>
              <w:pStyle w:val="5"/>
              <w:jc w:val="center"/>
              <w:rPr>
                <w:rFonts w:hint="eastAsia" w:ascii="仿宋" w:hAnsi="仿宋" w:eastAsia="仿宋" w:cs="仿宋"/>
              </w:rPr>
            </w:pPr>
            <w:r>
              <w:rPr>
                <w:rFonts w:hint="eastAsia" w:ascii="仿宋" w:hAnsi="仿宋" w:eastAsia="仿宋" w:cs="仿宋"/>
              </w:rPr>
              <w:t>★</w:t>
            </w:r>
            <w:r>
              <w:rPr>
                <w:rFonts w:hint="eastAsia" w:ascii="仿宋" w:hAnsi="仿宋" w:eastAsia="仿宋" w:cs="仿宋"/>
                <w:lang w:val="en-US" w:eastAsia="zh-CN"/>
              </w:rPr>
              <w:t>用途</w:t>
            </w:r>
          </w:p>
        </w:tc>
        <w:tc>
          <w:tcPr>
            <w:tcW w:w="1656" w:type="dxa"/>
            <w:vAlign w:val="center"/>
          </w:tcPr>
          <w:p w14:paraId="1CDC2FA7">
            <w:pPr>
              <w:pStyle w:val="5"/>
              <w:jc w:val="center"/>
              <w:rPr>
                <w:rFonts w:hint="eastAsia" w:ascii="仿宋" w:hAnsi="仿宋" w:eastAsia="仿宋" w:cs="仿宋"/>
                <w:lang w:val="en-US" w:eastAsia="zh-CN"/>
              </w:rPr>
            </w:pPr>
            <w:r>
              <w:rPr>
                <w:rFonts w:hint="eastAsia" w:ascii="仿宋" w:hAnsi="仿宋" w:eastAsia="仿宋" w:cs="仿宋"/>
                <w:lang w:val="en-US" w:eastAsia="zh-CN"/>
              </w:rPr>
              <w:t>参考型号</w:t>
            </w:r>
          </w:p>
        </w:tc>
        <w:tc>
          <w:tcPr>
            <w:tcW w:w="919" w:type="dxa"/>
            <w:vAlign w:val="center"/>
          </w:tcPr>
          <w:p w14:paraId="2D4D94B3">
            <w:pPr>
              <w:pStyle w:val="5"/>
              <w:jc w:val="center"/>
              <w:rPr>
                <w:rFonts w:hint="eastAsia" w:ascii="仿宋" w:hAnsi="仿宋" w:eastAsia="仿宋" w:cs="仿宋"/>
                <w:highlight w:val="none"/>
                <w:lang w:val="en-US" w:eastAsia="zh-CN"/>
              </w:rPr>
            </w:pPr>
            <w:r>
              <w:rPr>
                <w:rFonts w:hint="eastAsia" w:ascii="仿宋" w:hAnsi="仿宋" w:eastAsia="仿宋" w:cs="仿宋"/>
                <w:highlight w:val="none"/>
              </w:rPr>
              <w:t>★</w:t>
            </w:r>
            <w:r>
              <w:rPr>
                <w:rFonts w:hint="eastAsia" w:ascii="仿宋" w:hAnsi="仿宋" w:eastAsia="仿宋" w:cs="仿宋"/>
                <w:highlight w:val="none"/>
                <w:lang w:val="en-US" w:eastAsia="zh-CN"/>
              </w:rPr>
              <w:t>是否提供样品</w:t>
            </w:r>
          </w:p>
        </w:tc>
      </w:tr>
      <w:tr w14:paraId="7166AD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21" w:type="dxa"/>
            <w:vAlign w:val="center"/>
          </w:tcPr>
          <w:p w14:paraId="0DD51995">
            <w:pPr>
              <w:pStyle w:val="5"/>
              <w:jc w:val="center"/>
              <w:rPr>
                <w:rFonts w:hint="eastAsia" w:ascii="仿宋" w:hAnsi="仿宋" w:eastAsia="仿宋" w:cs="仿宋"/>
                <w:sz w:val="21"/>
                <w:szCs w:val="21"/>
              </w:rPr>
            </w:pPr>
            <w:r>
              <w:rPr>
                <w:rFonts w:hint="eastAsia" w:ascii="仿宋" w:hAnsi="仿宋" w:eastAsia="仿宋" w:cs="仿宋"/>
                <w:sz w:val="21"/>
                <w:szCs w:val="21"/>
                <w:lang w:val="en-US" w:eastAsia="zh-CN"/>
              </w:rPr>
              <w:t>1</w:t>
            </w:r>
          </w:p>
        </w:tc>
        <w:tc>
          <w:tcPr>
            <w:tcW w:w="1656" w:type="dxa"/>
            <w:vAlign w:val="center"/>
          </w:tcPr>
          <w:p w14:paraId="316A3487">
            <w:pPr>
              <w:keepNext w:val="0"/>
              <w:keepLines w:val="0"/>
              <w:widowControl/>
              <w:suppressLineNumbers w:val="0"/>
              <w:jc w:val="center"/>
              <w:textAlignment w:val="center"/>
              <w:rPr>
                <w:rFonts w:hint="default" w:ascii="仿宋" w:hAnsi="仿宋" w:eastAsia="仿宋" w:cs="仿宋"/>
                <w:sz w:val="22"/>
                <w:szCs w:val="28"/>
                <w:lang w:val="en-US"/>
              </w:rPr>
            </w:pPr>
            <w:r>
              <w:rPr>
                <w:rFonts w:hint="eastAsia" w:ascii="仿宋" w:hAnsi="仿宋" w:eastAsia="仿宋" w:cs="仿宋"/>
                <w:b w:val="0"/>
                <w:bCs w:val="0"/>
                <w:color w:val="auto"/>
                <w:sz w:val="21"/>
                <w:szCs w:val="21"/>
                <w:highlight w:val="none"/>
                <w:shd w:val="clear" w:color="auto" w:fill="auto"/>
                <w:vertAlign w:val="baseline"/>
                <w:lang w:val="en-US" w:eastAsia="zh-CN"/>
              </w:rPr>
              <w:t>一次性使用热活检钳</w:t>
            </w:r>
          </w:p>
        </w:tc>
        <w:tc>
          <w:tcPr>
            <w:tcW w:w="1656" w:type="dxa"/>
            <w:vAlign w:val="center"/>
          </w:tcPr>
          <w:p w14:paraId="6F824886">
            <w:pPr>
              <w:keepNext w:val="0"/>
              <w:keepLines w:val="0"/>
              <w:widowControl/>
              <w:suppressLineNumbers w:val="0"/>
              <w:jc w:val="center"/>
              <w:textAlignment w:val="center"/>
              <w:rPr>
                <w:rFonts w:hint="eastAsia" w:ascii="仿宋" w:hAnsi="仿宋" w:eastAsia="仿宋" w:cs="仿宋"/>
                <w:sz w:val="22"/>
                <w:szCs w:val="28"/>
              </w:rPr>
            </w:pPr>
            <w:r>
              <w:rPr>
                <w:rFonts w:hint="eastAsia" w:ascii="仿宋" w:hAnsi="仿宋" w:eastAsia="仿宋" w:cs="仿宋"/>
                <w:b w:val="0"/>
                <w:bCs w:val="0"/>
                <w:color w:val="auto"/>
                <w:sz w:val="21"/>
                <w:szCs w:val="21"/>
                <w:highlight w:val="none"/>
                <w:shd w:val="clear" w:color="auto" w:fill="auto"/>
                <w:vertAlign w:val="baseline"/>
                <w:lang w:val="en-US" w:eastAsia="zh-CN"/>
              </w:rPr>
              <w:t>C010227007</w:t>
            </w:r>
          </w:p>
        </w:tc>
        <w:tc>
          <w:tcPr>
            <w:tcW w:w="2114" w:type="dxa"/>
            <w:vAlign w:val="center"/>
          </w:tcPr>
          <w:p w14:paraId="779B6D60">
            <w:pPr>
              <w:keepNext w:val="0"/>
              <w:keepLines w:val="0"/>
              <w:widowControl/>
              <w:suppressLineNumbers w:val="0"/>
              <w:jc w:val="left"/>
              <w:textAlignment w:val="center"/>
              <w:rPr>
                <w:rFonts w:hint="eastAsia" w:ascii="仿宋" w:hAnsi="仿宋" w:eastAsia="仿宋" w:cs="仿宋"/>
                <w:sz w:val="22"/>
                <w:szCs w:val="28"/>
              </w:rPr>
            </w:pPr>
            <w:r>
              <w:rPr>
                <w:rFonts w:hint="eastAsia" w:ascii="仿宋" w:hAnsi="仿宋" w:eastAsia="仿宋" w:cs="仿宋"/>
                <w:b w:val="0"/>
                <w:bCs w:val="0"/>
                <w:color w:val="auto"/>
                <w:sz w:val="21"/>
                <w:szCs w:val="21"/>
                <w:highlight w:val="none"/>
                <w:shd w:val="clear" w:color="auto" w:fill="auto"/>
                <w:vertAlign w:val="baseline"/>
                <w:lang w:val="en-US" w:eastAsia="zh-CN"/>
              </w:rPr>
              <w:t>与内镜和高频手术设备配合使用，在消化道内进行活检或粘膜止血及摘除无蔕息肉。</w:t>
            </w:r>
          </w:p>
        </w:tc>
        <w:tc>
          <w:tcPr>
            <w:tcW w:w="1656" w:type="dxa"/>
            <w:vAlign w:val="center"/>
          </w:tcPr>
          <w:p w14:paraId="1C1441C1">
            <w:pPr>
              <w:keepNext w:val="0"/>
              <w:keepLines w:val="0"/>
              <w:widowControl/>
              <w:suppressLineNumbers w:val="0"/>
              <w:jc w:val="center"/>
              <w:textAlignment w:val="center"/>
              <w:rPr>
                <w:rFonts w:hint="default" w:ascii="仿宋" w:hAnsi="仿宋" w:eastAsia="仿宋" w:cs="仿宋"/>
                <w:sz w:val="22"/>
                <w:szCs w:val="28"/>
                <w:lang w:val="en-US" w:eastAsia="zh-CN"/>
              </w:rPr>
            </w:pPr>
            <w:r>
              <w:rPr>
                <w:rFonts w:hint="eastAsia" w:ascii="仿宋" w:hAnsi="仿宋" w:eastAsia="仿宋" w:cs="仿宋"/>
                <w:i w:val="0"/>
                <w:iCs w:val="0"/>
                <w:color w:val="000000"/>
                <w:kern w:val="0"/>
                <w:sz w:val="21"/>
                <w:szCs w:val="21"/>
                <w:u w:val="none"/>
                <w:lang w:val="en-US" w:eastAsia="zh-CN" w:bidi="ar"/>
              </w:rPr>
              <w:t>/</w:t>
            </w:r>
          </w:p>
        </w:tc>
        <w:tc>
          <w:tcPr>
            <w:tcW w:w="919" w:type="dxa"/>
            <w:vAlign w:val="center"/>
          </w:tcPr>
          <w:p w14:paraId="7AB1CFC8">
            <w:pPr>
              <w:keepNext w:val="0"/>
              <w:keepLines w:val="0"/>
              <w:widowControl/>
              <w:suppressLineNumbers w:val="0"/>
              <w:jc w:val="center"/>
              <w:textAlignment w:val="center"/>
              <w:rPr>
                <w:rFonts w:hint="default"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r w14:paraId="5A5B37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21" w:type="dxa"/>
            <w:vAlign w:val="center"/>
          </w:tcPr>
          <w:p w14:paraId="63D6AC8B">
            <w:pPr>
              <w:pStyle w:val="5"/>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w:t>
            </w:r>
          </w:p>
        </w:tc>
        <w:tc>
          <w:tcPr>
            <w:tcW w:w="1656" w:type="dxa"/>
            <w:vAlign w:val="center"/>
          </w:tcPr>
          <w:p w14:paraId="6F7179F0">
            <w:pPr>
              <w:keepNext w:val="0"/>
              <w:keepLines w:val="0"/>
              <w:widowControl/>
              <w:suppressLineNumbers w:val="0"/>
              <w:jc w:val="center"/>
              <w:textAlignment w:val="center"/>
              <w:rPr>
                <w:rFonts w:hint="default" w:ascii="仿宋" w:hAnsi="仿宋" w:eastAsia="仿宋" w:cs="仿宋"/>
                <w:sz w:val="22"/>
                <w:szCs w:val="28"/>
                <w:lang w:val="en-US" w:eastAsia="zh-CN"/>
              </w:rPr>
            </w:pPr>
            <w:r>
              <w:rPr>
                <w:rFonts w:hint="eastAsia" w:ascii="仿宋" w:hAnsi="仿宋" w:eastAsia="仿宋" w:cs="仿宋"/>
                <w:b w:val="0"/>
                <w:bCs w:val="0"/>
                <w:color w:val="auto"/>
                <w:sz w:val="21"/>
                <w:szCs w:val="21"/>
                <w:highlight w:val="none"/>
                <w:shd w:val="clear" w:color="auto" w:fill="auto"/>
                <w:vertAlign w:val="baseline"/>
                <w:lang w:val="en-US" w:eastAsia="zh-CN"/>
              </w:rPr>
              <w:t>一次性内镜下液体输送喷洒管</w:t>
            </w:r>
          </w:p>
        </w:tc>
        <w:tc>
          <w:tcPr>
            <w:tcW w:w="1656" w:type="dxa"/>
            <w:vAlign w:val="center"/>
          </w:tcPr>
          <w:p w14:paraId="080A80B1">
            <w:pPr>
              <w:keepNext w:val="0"/>
              <w:keepLines w:val="0"/>
              <w:widowControl/>
              <w:suppressLineNumbers w:val="0"/>
              <w:jc w:val="center"/>
              <w:textAlignment w:val="center"/>
              <w:rPr>
                <w:rFonts w:hint="eastAsia" w:ascii="仿宋" w:hAnsi="仿宋" w:eastAsia="仿宋" w:cs="仿宋"/>
                <w:sz w:val="22"/>
                <w:szCs w:val="28"/>
                <w:lang w:val="en-US" w:eastAsia="zh-CN"/>
              </w:rPr>
            </w:pPr>
            <w:r>
              <w:rPr>
                <w:rFonts w:hint="eastAsia" w:ascii="仿宋" w:hAnsi="仿宋" w:eastAsia="仿宋" w:cs="仿宋"/>
                <w:b w:val="0"/>
                <w:bCs w:val="0"/>
                <w:color w:val="auto"/>
                <w:sz w:val="21"/>
                <w:szCs w:val="21"/>
                <w:highlight w:val="none"/>
                <w:shd w:val="clear" w:color="auto" w:fill="auto"/>
                <w:vertAlign w:val="baseline"/>
                <w:lang w:val="en-US" w:eastAsia="zh-CN"/>
              </w:rPr>
              <w:t>C010215004</w:t>
            </w:r>
          </w:p>
        </w:tc>
        <w:tc>
          <w:tcPr>
            <w:tcW w:w="2114" w:type="dxa"/>
            <w:vAlign w:val="center"/>
          </w:tcPr>
          <w:p w14:paraId="36CAC227">
            <w:pPr>
              <w:keepNext w:val="0"/>
              <w:keepLines w:val="0"/>
              <w:widowControl/>
              <w:suppressLineNumbers w:val="0"/>
              <w:jc w:val="left"/>
              <w:textAlignment w:val="center"/>
              <w:rPr>
                <w:rFonts w:hint="eastAsia" w:ascii="仿宋" w:hAnsi="仿宋" w:eastAsia="仿宋" w:cs="仿宋"/>
                <w:sz w:val="22"/>
                <w:szCs w:val="28"/>
                <w:lang w:val="en-US" w:eastAsia="zh-CN"/>
              </w:rPr>
            </w:pPr>
            <w:r>
              <w:rPr>
                <w:rFonts w:hint="eastAsia" w:ascii="仿宋" w:hAnsi="仿宋" w:eastAsia="仿宋" w:cs="仿宋"/>
                <w:b w:val="0"/>
                <w:bCs w:val="0"/>
                <w:color w:val="auto"/>
                <w:sz w:val="21"/>
                <w:szCs w:val="21"/>
                <w:highlight w:val="none"/>
                <w:shd w:val="clear" w:color="auto" w:fill="auto"/>
                <w:vertAlign w:val="baseline"/>
                <w:lang w:val="en-US" w:eastAsia="zh-CN"/>
              </w:rPr>
              <w:t>与内镜配合使用，在消化道内局部精准喷洒药物，也用于内镜下注射、止血、切除组织。</w:t>
            </w:r>
          </w:p>
        </w:tc>
        <w:tc>
          <w:tcPr>
            <w:tcW w:w="1656" w:type="dxa"/>
            <w:vAlign w:val="center"/>
          </w:tcPr>
          <w:p w14:paraId="42191EA6">
            <w:pPr>
              <w:keepNext w:val="0"/>
              <w:keepLines w:val="0"/>
              <w:widowControl/>
              <w:suppressLineNumbers w:val="0"/>
              <w:jc w:val="center"/>
              <w:textAlignment w:val="center"/>
              <w:rPr>
                <w:rFonts w:hint="default" w:ascii="仿宋" w:hAnsi="仿宋" w:eastAsia="仿宋" w:cs="仿宋"/>
                <w:sz w:val="22"/>
                <w:szCs w:val="28"/>
                <w:lang w:val="en-US" w:eastAsia="zh-CN"/>
              </w:rPr>
            </w:pPr>
            <w:r>
              <w:rPr>
                <w:rFonts w:hint="eastAsia" w:ascii="仿宋" w:hAnsi="仿宋" w:eastAsia="仿宋" w:cs="仿宋"/>
                <w:i w:val="0"/>
                <w:iCs w:val="0"/>
                <w:color w:val="000000"/>
                <w:kern w:val="0"/>
                <w:sz w:val="21"/>
                <w:szCs w:val="21"/>
                <w:u w:val="none"/>
                <w:lang w:val="en-US" w:eastAsia="zh-CN" w:bidi="ar"/>
              </w:rPr>
              <w:t>/</w:t>
            </w:r>
          </w:p>
        </w:tc>
        <w:tc>
          <w:tcPr>
            <w:tcW w:w="919" w:type="dxa"/>
            <w:vAlign w:val="center"/>
          </w:tcPr>
          <w:p w14:paraId="1507E911">
            <w:pPr>
              <w:keepNext w:val="0"/>
              <w:keepLines w:val="0"/>
              <w:widowControl/>
              <w:suppressLineNumbers w:val="0"/>
              <w:jc w:val="center"/>
              <w:textAlignment w:val="center"/>
              <w:rPr>
                <w:rFonts w:hint="default"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bl>
    <w:p w14:paraId="3AD0B06E">
      <w:pPr>
        <w:pStyle w:val="5"/>
        <w:jc w:val="left"/>
        <w:outlineLvl w:val="9"/>
        <w:rPr>
          <w:rFonts w:hint="eastAsia" w:ascii="仿宋" w:hAnsi="仿宋" w:eastAsia="仿宋" w:cs="仿宋"/>
          <w:b/>
          <w:sz w:val="28"/>
        </w:rPr>
      </w:pPr>
    </w:p>
    <w:p w14:paraId="4FF9362D">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1"/>
        <w:rPr>
          <w:rFonts w:hint="eastAsia" w:ascii="仿宋" w:hAnsi="仿宋" w:eastAsia="仿宋" w:cs="仿宋"/>
          <w:b/>
          <w:bCs/>
          <w:color w:val="000000"/>
          <w:sz w:val="28"/>
          <w:szCs w:val="28"/>
          <w:lang w:val="en-US" w:eastAsia="zh-CN"/>
        </w:rPr>
      </w:pPr>
      <w:r>
        <w:rPr>
          <w:rFonts w:hint="eastAsia" w:ascii="Times New Roman" w:hAnsi="Times New Roman" w:eastAsia="仿宋" w:cs="Times New Roman"/>
          <w:b/>
          <w:bCs/>
          <w:color w:val="auto"/>
          <w:sz w:val="22"/>
          <w:szCs w:val="22"/>
          <w:highlight w:val="none"/>
          <w:shd w:val="clear" w:color="auto" w:fill="auto"/>
          <w:lang w:val="en-US" w:eastAsia="zh-CN"/>
        </w:rPr>
        <w:t>★</w:t>
      </w:r>
      <w:r>
        <w:rPr>
          <w:rFonts w:hint="eastAsia" w:ascii="仿宋" w:hAnsi="仿宋" w:eastAsia="仿宋" w:cs="仿宋"/>
          <w:b/>
          <w:sz w:val="28"/>
        </w:rPr>
        <w:t>3.3.</w:t>
      </w:r>
      <w:r>
        <w:rPr>
          <w:rFonts w:hint="eastAsia" w:ascii="仿宋" w:hAnsi="仿宋" w:eastAsia="仿宋" w:cs="仿宋"/>
          <w:b/>
          <w:sz w:val="28"/>
          <w:lang w:val="en-US" w:eastAsia="zh-CN"/>
        </w:rPr>
        <w:t>项目采购要求</w:t>
      </w:r>
    </w:p>
    <w:p w14:paraId="1F9095CB">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sz w:val="28"/>
          <w:lang w:val="en-US" w:eastAsia="zh-CN"/>
        </w:rPr>
      </w:pPr>
      <w:r>
        <w:rPr>
          <w:rFonts w:hint="eastAsia" w:ascii="仿宋" w:hAnsi="仿宋" w:eastAsia="仿宋" w:cs="仿宋"/>
          <w:b/>
          <w:sz w:val="28"/>
          <w:lang w:val="en-US" w:eastAsia="zh-CN"/>
        </w:rPr>
        <w:t>一、挂网需求</w:t>
      </w:r>
    </w:p>
    <w:p w14:paraId="6D1AD26C">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本项目所有标的均须提供挂网产品。</w:t>
      </w:r>
    </w:p>
    <w:p w14:paraId="7C5D8796">
      <w:pPr>
        <w:ind w:firstLine="440" w:firstLineChars="200"/>
        <w:jc w:val="left"/>
        <w:textAlignment w:val="center"/>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注：本项目中所指“挂网产品”，为“四川省药品和医用耗材招采管理系统”中已挂网产品（不含正在挂网和备案的产品）。</w:t>
      </w:r>
    </w:p>
    <w:p w14:paraId="153822F1">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sz w:val="28"/>
          <w:lang w:val="en-US" w:eastAsia="zh-CN"/>
        </w:rPr>
      </w:pPr>
      <w:r>
        <w:rPr>
          <w:rFonts w:hint="eastAsia" w:ascii="仿宋" w:hAnsi="仿宋" w:eastAsia="仿宋" w:cs="仿宋"/>
          <w:b/>
          <w:sz w:val="28"/>
          <w:lang w:val="en-US" w:eastAsia="zh-CN"/>
        </w:rPr>
        <w:t>二、样品要求</w:t>
      </w:r>
    </w:p>
    <w:p w14:paraId="68465137">
      <w:pPr>
        <w:ind w:firstLine="440" w:firstLineChars="200"/>
        <w:jc w:val="left"/>
        <w:textAlignment w:val="center"/>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1.必须提供样品，以供评审专家现场评审。</w:t>
      </w:r>
    </w:p>
    <w:p w14:paraId="50C37180">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2.提交的样品不符合实际需求或存在原理错误则视为无效响应。</w:t>
      </w:r>
    </w:p>
    <w:p w14:paraId="55EFE6D6">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3.本项目竞选人提供的样品，应与该竞选人响应文件保持一致（具体参考《医疗器械说明书和标签管理规定》）。</w:t>
      </w:r>
    </w:p>
    <w:p w14:paraId="6E1892A5">
      <w:pPr>
        <w:ind w:firstLine="442" w:firstLineChars="200"/>
        <w:jc w:val="left"/>
        <w:textAlignment w:val="center"/>
        <w:rPr>
          <w:rFonts w:hint="default" w:ascii="仿宋" w:hAnsi="仿宋" w:eastAsia="仿宋" w:cs="仿宋"/>
          <w:b/>
          <w:bCs/>
          <w:color w:val="000000"/>
          <w:kern w:val="0"/>
          <w:sz w:val="22"/>
          <w:szCs w:val="22"/>
          <w:highlight w:val="yellow"/>
          <w:u w:val="none"/>
          <w:lang w:val="en-US" w:eastAsia="zh-CN" w:bidi="ar"/>
        </w:rPr>
      </w:pPr>
      <w:r>
        <w:rPr>
          <w:rFonts w:hint="eastAsia" w:ascii="仿宋" w:hAnsi="仿宋" w:eastAsia="仿宋" w:cs="仿宋"/>
          <w:b/>
          <w:bCs/>
          <w:color w:val="000000"/>
          <w:kern w:val="0"/>
          <w:sz w:val="22"/>
          <w:szCs w:val="22"/>
          <w:highlight w:val="yellow"/>
          <w:u w:val="none"/>
          <w:lang w:val="en-US" w:eastAsia="zh-CN" w:bidi="ar"/>
        </w:rPr>
        <w:t>注：样品包装需完整，样品评审时将由采购代理机构拍照留存，作为后期验收的依据。</w:t>
      </w:r>
    </w:p>
    <w:p w14:paraId="09E5F14D">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default" w:ascii="仿宋" w:hAnsi="仿宋" w:eastAsia="仿宋" w:cs="仿宋"/>
          <w:b/>
          <w:bCs/>
          <w:color w:val="000000"/>
          <w:sz w:val="24"/>
          <w:szCs w:val="24"/>
          <w:lang w:val="en-US" w:eastAsia="zh-CN"/>
        </w:rPr>
      </w:pPr>
      <w:r>
        <w:rPr>
          <w:rFonts w:hint="eastAsia" w:ascii="仿宋" w:hAnsi="仿宋" w:eastAsia="仿宋" w:cs="仿宋"/>
          <w:b/>
          <w:sz w:val="28"/>
          <w:lang w:val="en-US" w:eastAsia="zh-CN"/>
        </w:rPr>
        <w:t>三、商务</w:t>
      </w:r>
      <w:r>
        <w:rPr>
          <w:rFonts w:hint="eastAsia" w:ascii="仿宋" w:hAnsi="仿宋" w:eastAsia="仿宋" w:cs="仿宋"/>
          <w:b/>
          <w:sz w:val="28"/>
        </w:rPr>
        <w:t>要求</w:t>
      </w:r>
      <w:r>
        <w:rPr>
          <w:rFonts w:hint="eastAsia" w:ascii="仿宋" w:hAnsi="仿宋" w:eastAsia="仿宋" w:cs="仿宋"/>
          <w:b/>
          <w:bCs/>
          <w:color w:val="000000"/>
          <w:sz w:val="28"/>
          <w:szCs w:val="28"/>
          <w:lang w:val="en-US" w:eastAsia="zh-CN"/>
        </w:rPr>
        <w:t>：</w:t>
      </w:r>
    </w:p>
    <w:p w14:paraId="53137A4B">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outlineLvl w:val="3"/>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1.交货期及地点</w:t>
      </w:r>
    </w:p>
    <w:p w14:paraId="0D650F35">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（1）交货期：每次配送时间必须严格按照采购人配送通知执行，成交供应商应于收到通知后2小时内响应。急救耗材的配送时间不应超过4小时，一般耗材原则上的配送时间不应超过2个工作日；</w:t>
      </w:r>
    </w:p>
    <w:p w14:paraId="6B50049B">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（2）交货地点：内江</w:t>
      </w:r>
      <w:r>
        <w:rPr>
          <w:rFonts w:hint="eastAsia" w:ascii="仿宋" w:hAnsi="仿宋" w:eastAsia="仿宋" w:cs="仿宋"/>
          <w:color w:val="000000"/>
          <w:kern w:val="0"/>
          <w:sz w:val="22"/>
          <w:szCs w:val="22"/>
          <w:u w:val="none"/>
          <w:lang w:val="en-US" w:eastAsia="zh-CN" w:bidi="ar"/>
        </w:rPr>
        <w:t>市第一人民医院指定地点。</w:t>
      </w:r>
    </w:p>
    <w:p w14:paraId="213ED65D">
      <w:pPr>
        <w:pStyle w:val="5"/>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2.付款方法和条件</w:t>
      </w:r>
    </w:p>
    <w:p w14:paraId="0C5E33BD">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（1）结算方式：货款按实结算且由双方协商决定；</w:t>
      </w:r>
    </w:p>
    <w:p w14:paraId="050515CB">
      <w:pPr>
        <w:ind w:firstLine="440" w:firstLineChars="200"/>
        <w:jc w:val="left"/>
        <w:textAlignment w:val="center"/>
        <w:rPr>
          <w:rFonts w:hint="eastAsia" w:ascii="仿宋" w:hAnsi="仿宋" w:eastAsia="仿宋" w:cs="仿宋"/>
          <w:sz w:val="24"/>
          <w:szCs w:val="24"/>
          <w:lang w:val="en-US" w:eastAsia="zh-CN"/>
        </w:rPr>
      </w:pPr>
      <w:r>
        <w:rPr>
          <w:rFonts w:hint="eastAsia" w:ascii="仿宋" w:hAnsi="仿宋" w:eastAsia="仿宋" w:cs="仿宋"/>
          <w:color w:val="000000"/>
          <w:kern w:val="0"/>
          <w:sz w:val="22"/>
          <w:szCs w:val="22"/>
          <w:u w:val="none"/>
          <w:lang w:val="en-US" w:eastAsia="zh-CN" w:bidi="ar"/>
        </w:rPr>
        <w:t>（2）成交价格包含成本、运输、包装、培训、配送、伴随服务、税费及其他附加费用</w:t>
      </w:r>
      <w:r>
        <w:rPr>
          <w:rFonts w:hint="eastAsia" w:ascii="仿宋" w:hAnsi="仿宋" w:eastAsia="仿宋" w:cs="仿宋"/>
          <w:sz w:val="24"/>
          <w:szCs w:val="24"/>
          <w:lang w:val="en-US" w:eastAsia="zh-CN"/>
        </w:rPr>
        <w:t>。</w:t>
      </w:r>
    </w:p>
    <w:p w14:paraId="2986354B">
      <w:pPr>
        <w:pStyle w:val="5"/>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3.医用耗材质量保证</w:t>
      </w:r>
    </w:p>
    <w:p w14:paraId="41190919">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（1）成交供应商须提供原厂生产的未曾使用过的、全新的合格的货品（含配套配件等），表面无划伤、无破损痕迹，且权属清楚，不得侵害他人的合法权利；</w:t>
      </w:r>
    </w:p>
    <w:p w14:paraId="3B34ED44">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成交供应商所提供货品须符合或优于国家（行业）标准、本项目竞选文件要求及响应文件响应内容。当响应文件响应内容与竞选文件要求不一致时，以响应文件响应内容为准。当响应文件响应内容与国家标准、行业标准（若有）不一致时，以较高标准为准；</w:t>
      </w:r>
    </w:p>
    <w:p w14:paraId="25D078D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（3）成交供应商提供货品的设计技术专利、外形专利等均应符合我国有关法律法规及行业标准，凡因以上问题与第三方发生的任何纠纷均与采购人无关；</w:t>
      </w:r>
    </w:p>
    <w:p w14:paraId="7DFF3445">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（4）成交供应商保证其提供货品的安全可靠性。在正常使用下不应对使用者造成任何人身伤害，如因产品质量或标示不明确而对使用者造成损失的，由成交供应商承担相应责任；</w:t>
      </w:r>
    </w:p>
    <w:p w14:paraId="3C9EAC5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成交供应商应保证所供耗材原产地真实，医用耗材是全新的、未使用过的，质量符合国家标准（在无国家标准时，符合行业标准），不得以假充真，以次充好，确保临床医疗安全。如出现质量问题，成交供应商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6A99176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（6）成交供应商保证所供耗材有效期不低于1年，自通过最终验收之日起，确保采购人在使用耗材的过程中安全、有效。</w:t>
      </w:r>
    </w:p>
    <w:p w14:paraId="48778C21">
      <w:pPr>
        <w:pStyle w:val="5"/>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4.验收</w:t>
      </w:r>
    </w:p>
    <w:p w14:paraId="0F20E416">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按照《财政部关于进一步加强政府采购需求和履约验收管理的指导意见》（财库〔2016〕205号）的要求以及采购人竞选文件的质量要求和技术指标、成交供应商的响应文件及承诺（若有）、国家（行业）标准、本合同约定标准进行验收；</w:t>
      </w:r>
    </w:p>
    <w:p w14:paraId="091C012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验收时如发现所交付的货物有短装、次品、损坏或其他不符合验收标准的，采购人应做出详尽的现场记录，此现场记录或备忘录可用作补充、缺失和更换损坏部件的有效证据，由此产生的时间延误与有关费用由成交供应商承担，验收期限相应顺延；</w:t>
      </w:r>
    </w:p>
    <w:p w14:paraId="726C6AD9">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若所提供货物不符合验收标准，成交供应商经过2次维修或2次调换后仍不能达到验收质量标准，则视为验收不合格，采购人有权全部（或部分）退货或解除合同。接到采购人退货通知，成交供应商除应及时运走采购人退还的货物外（若涉及费用或损失均由成交供应商自行承担），还应向采购人承担相应的违约责任。</w:t>
      </w:r>
    </w:p>
    <w:p w14:paraId="54FFE1BB">
      <w:pPr>
        <w:pStyle w:val="5"/>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5.售后服务</w:t>
      </w:r>
    </w:p>
    <w:p w14:paraId="0B989C0C">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要求成交供应商必须严格按照竞选文件要求和响应文件中的承诺提供配送服务。如果配送的医用耗材规格、包装等信息与中标产品的规格、包装等信息不一致并不同意更换的，或配送的医用耗材和中标产品不一致的，采购人有权终止合同；</w:t>
      </w:r>
    </w:p>
    <w:p w14:paraId="05454DA4">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（2）要求成交供应商指派专人负责与采购人联系售后服务事宜；在响应文件中列明售后联系人及联系电话；</w:t>
      </w:r>
    </w:p>
    <w:p w14:paraId="4D097F0D">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要求成交供应商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39FEA5A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（4）耗材临近失效期，采购人提前三个月向成交供应商提出更换，成交供应商须在耗材失效前一个月更换完毕，不得以任何理由进行推诿；</w:t>
      </w:r>
    </w:p>
    <w:p w14:paraId="7835D82C">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（5）成交供应商必须随货提供其具备医疗器械经营企业的有关合法有效的手续（包括但不限于）：</w:t>
      </w:r>
    </w:p>
    <w:p w14:paraId="47590FA2">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5.1产品所涉及逐级授权经销商的医疗器械生产（经营）许可证或生产（经营）企业备案表；</w:t>
      </w:r>
    </w:p>
    <w:p w14:paraId="1C3C12A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5.2医疗器械产品注册证或备案凭证；</w:t>
      </w:r>
    </w:p>
    <w:p w14:paraId="6D491692">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5.3医疗器械生产企业许可证；</w:t>
      </w:r>
    </w:p>
    <w:p w14:paraId="1A0D7D6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5.4经销商获得的委托授权书（逐级）；</w:t>
      </w:r>
    </w:p>
    <w:p w14:paraId="6FE4EE64">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5.5产品所涉及逐级授权经销商的企业法人营业执照。</w:t>
      </w:r>
    </w:p>
    <w:p w14:paraId="5290007D">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5.6采购人要求提供的相关资料。</w:t>
      </w:r>
    </w:p>
    <w:p w14:paraId="5A56A482">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成交供应商或厂家原因无法按上述要求执行的，则采购人可以解除与成交供应商在成交合同中对该产品的采购相关约定。</w:t>
      </w:r>
    </w:p>
    <w:p w14:paraId="68A3C148">
      <w:pPr>
        <w:pStyle w:val="5"/>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 xml:space="preserve">6.包装和运输 </w:t>
      </w:r>
    </w:p>
    <w:p w14:paraId="4A251486">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 xml:space="preserve">（1）成交供应商须严格按照《商品包装政府采购需求标准(试行)》、《快递包装政府采购需求标准(试行)》(财办库〔2020〕123 号)的要求进行产品及相关快递服务的包装； </w:t>
      </w:r>
    </w:p>
    <w:p w14:paraId="0344AFF2">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 xml:space="preserve">（2）成交供应商应当按照约定的方式交付标的物。对于包装方式没有约定或者约定不明确的，应当按照通用的方式包装；没有通用方式的，应当采取足以保护标的物且有利于节约资源，保护生态环境的包装方式； </w:t>
      </w:r>
    </w:p>
    <w:p w14:paraId="726F8F0F">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（3）本次采购的标的物需要运输，成交供应商在合同约定的时间内将标的物运输至合同约定地点。</w:t>
      </w:r>
    </w:p>
    <w:p w14:paraId="77C6361B">
      <w:pPr>
        <w:pStyle w:val="5"/>
        <w:jc w:val="left"/>
        <w:outlineLvl w:val="1"/>
        <w:rPr>
          <w:rFonts w:hint="eastAsia" w:ascii="仿宋" w:hAnsi="仿宋" w:eastAsia="仿宋" w:cs="仿宋"/>
        </w:rPr>
      </w:pPr>
      <w:r>
        <w:rPr>
          <w:rFonts w:hint="eastAsia" w:ascii="仿宋" w:hAnsi="仿宋" w:eastAsia="仿宋" w:cs="仿宋"/>
          <w:b/>
          <w:sz w:val="28"/>
        </w:rPr>
        <w:t>3.4.其他要求</w:t>
      </w:r>
    </w:p>
    <w:p w14:paraId="468D4DB8">
      <w:pPr>
        <w:pStyle w:val="5"/>
        <w:ind w:firstLine="480" w:firstLineChars="0"/>
        <w:jc w:val="left"/>
        <w:outlineLvl w:val="2"/>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1.</w:t>
      </w:r>
      <w:r>
        <w:rPr>
          <w:rFonts w:hint="default" w:ascii="仿宋" w:hAnsi="仿宋" w:eastAsia="仿宋" w:cs="仿宋"/>
          <w:b/>
          <w:bCs/>
          <w:sz w:val="24"/>
          <w:szCs w:val="24"/>
          <w:lang w:val="en-US" w:eastAsia="zh-CN"/>
        </w:rPr>
        <w:t>违约责任与解决争议的方法：</w:t>
      </w:r>
    </w:p>
    <w:p w14:paraId="22F52EF1">
      <w:pPr>
        <w:pStyle w:val="5"/>
        <w:ind w:firstLine="480" w:firstLineChars="0"/>
        <w:jc w:val="left"/>
        <w:outlineLvl w:val="1"/>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1.1违约责任</w:t>
      </w:r>
    </w:p>
    <w:p w14:paraId="023FF873">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（1）成交供应商逾期15日内不能提供采购人所需医用耗材的，应向采购人每日支付该批次货款千分之三的违约金。</w:t>
      </w:r>
    </w:p>
    <w:p w14:paraId="42BD0C8B">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（2）成交供应商逾期15日及以上不能交付以上产品的，视同不能供货，须向采购人支付该批次货款的10%的违约金，同时采购人可以单方面解除本合同。</w:t>
      </w:r>
    </w:p>
    <w:p w14:paraId="5D0ED6E3">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（3）若因成交供应商原因造成采购人被监管部门通报三次及以上的或者造成采购人违规采购，采购人有权单方面解除本合同。同时</w:t>
      </w:r>
      <w:r>
        <w:rPr>
          <w:rFonts w:hint="default" w:ascii="仿宋" w:hAnsi="仿宋" w:eastAsia="仿宋" w:cs="仿宋"/>
          <w:color w:val="000000"/>
          <w:kern w:val="0"/>
          <w:sz w:val="22"/>
          <w:szCs w:val="22"/>
          <w:u w:val="none"/>
          <w:lang w:val="en-US" w:eastAsia="zh-CN" w:bidi="ar"/>
        </w:rPr>
        <w:t>，</w:t>
      </w:r>
      <w:r>
        <w:rPr>
          <w:rFonts w:hint="eastAsia" w:ascii="仿宋" w:hAnsi="仿宋" w:eastAsia="仿宋" w:cs="仿宋"/>
          <w:color w:val="000000"/>
          <w:kern w:val="0"/>
          <w:sz w:val="22"/>
          <w:szCs w:val="22"/>
          <w:u w:val="none"/>
          <w:lang w:val="en-US" w:eastAsia="zh-CN" w:bidi="ar"/>
        </w:rPr>
        <w:t>采购人有权要求成交供应商支付该批货物价款20%的违约金。</w:t>
      </w:r>
    </w:p>
    <w:p w14:paraId="7C1D0C75">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成交供应商销售的产品若发生严重医疗不良事件或被国家法定检测机构检测为不合格产品，视为成交供应商违约导致不能实现本合同目的，采购人有权单方面解除本合同，并要求成交供应商限期收回不合格产品，并要求成交供应商需承担合同价款20%的违约金，违约金不足以弥补采购人损失的，成交供应商还应当承补足。即使产品已经验收入库（或安装调试完毕）后，采购人才发现产品为不合格产品的，也视为成交供应商违约，成交供应商应当承担本条约定的责任。同时采购人有权退回库存产品。</w:t>
      </w:r>
    </w:p>
    <w:p w14:paraId="153A35A3">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（5）若根据法律规定或本协议约定产生采购人退、换货或拒绝收货情形，由成交供应商承担退换货产生的各项税、费或其他支出。</w:t>
      </w:r>
    </w:p>
    <w:p w14:paraId="346F7C8F">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（6）成交供应商不能保证及时供货，除应当向采购人承担违约责任外，采购人仍有权单方面解除本合同。</w:t>
      </w:r>
    </w:p>
    <w:p w14:paraId="7391A5F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（7）因成交供应商提供的产品不合格造成采购人或第三人人身损害或财产损失的，由成交供应商承担赔偿责任。</w:t>
      </w:r>
    </w:p>
    <w:p w14:paraId="5D7961BA">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8）若因成交供应商原因造成采购人挂网执行存在问题以及线上支付不及时、造成采购人未挂网采购的或者存在其他问题的，成交供应商应承担违约责任，且采购人有权要求成交供应商支付该批货物价款20%的违约金，采购人有权单方面解除合同。</w:t>
      </w:r>
    </w:p>
    <w:p w14:paraId="19A9AE36">
      <w:pPr>
        <w:pStyle w:val="5"/>
        <w:ind w:firstLine="480" w:firstLineChars="0"/>
        <w:jc w:val="left"/>
        <w:outlineLvl w:val="1"/>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1.2解决合同纠纷的方式</w:t>
      </w:r>
    </w:p>
    <w:p w14:paraId="5A72DE8E">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（1）因货物的质量问题发生的争议，由法定质量鉴定机构或其认可的质量鉴定机构进行质量鉴定。货物符合标准的，鉴定费由采购人承担；货物不符合质量标准的，鉴定费由成交供应商承担。</w:t>
      </w:r>
    </w:p>
    <w:p w14:paraId="565CFA7E">
      <w:pPr>
        <w:ind w:firstLine="440" w:firstLineChars="200"/>
        <w:jc w:val="left"/>
        <w:textAlignment w:val="center"/>
        <w:rPr>
          <w:rFonts w:hint="default" w:ascii="仿宋" w:hAnsi="仿宋" w:eastAsia="仿宋" w:cs="仿宋"/>
          <w:color w:val="000000"/>
          <w:kern w:val="0"/>
          <w:sz w:val="22"/>
          <w:szCs w:val="22"/>
          <w:highlight w:val="none"/>
          <w:u w:val="none"/>
          <w:lang w:val="en-US" w:eastAsia="zh-CN" w:bidi="ar"/>
        </w:rPr>
      </w:pPr>
      <w:r>
        <w:rPr>
          <w:rFonts w:hint="eastAsia" w:ascii="仿宋" w:hAnsi="仿宋" w:eastAsia="仿宋" w:cs="仿宋"/>
          <w:color w:val="000000"/>
          <w:kern w:val="0"/>
          <w:sz w:val="22"/>
          <w:szCs w:val="22"/>
          <w:u w:val="none"/>
          <w:lang w:val="en-US" w:eastAsia="zh-CN" w:bidi="ar"/>
        </w:rPr>
        <w:t>（2）合同</w:t>
      </w:r>
      <w:r>
        <w:rPr>
          <w:rFonts w:hint="eastAsia" w:ascii="仿宋" w:hAnsi="仿宋" w:eastAsia="仿宋" w:cs="仿宋"/>
          <w:color w:val="000000"/>
          <w:kern w:val="0"/>
          <w:sz w:val="22"/>
          <w:szCs w:val="22"/>
          <w:highlight w:val="none"/>
          <w:u w:val="none"/>
          <w:lang w:val="en-US" w:eastAsia="zh-CN" w:bidi="ar"/>
        </w:rPr>
        <w:t>履行期间，若双方发生争议，可协商或由有关部门调解解决，协商或调解不成的，可向采购人所在地人民法院依法提起诉讼。</w:t>
      </w:r>
    </w:p>
    <w:p w14:paraId="73BBDC5B">
      <w:pPr>
        <w:pStyle w:val="5"/>
        <w:ind w:firstLine="480"/>
        <w:jc w:val="left"/>
        <w:rPr>
          <w:rFonts w:hint="eastAsia" w:ascii="Times New Roman" w:hAnsi="Times New Roman" w:eastAsia="仿宋" w:cs="Times New Roman"/>
          <w:color w:val="auto"/>
          <w:sz w:val="24"/>
          <w:szCs w:val="24"/>
          <w:highlight w:val="none"/>
          <w:shd w:val="clear" w:color="auto" w:fill="auto"/>
          <w:lang w:val="en-US" w:eastAsia="zh-CN"/>
        </w:rPr>
      </w:pPr>
      <w:r>
        <w:rPr>
          <w:rFonts w:hint="eastAsia" w:ascii="仿宋" w:hAnsi="仿宋" w:eastAsia="仿宋" w:cs="仿宋"/>
          <w:b/>
          <w:bCs/>
          <w:sz w:val="24"/>
          <w:szCs w:val="24"/>
          <w:highlight w:val="none"/>
          <w:lang w:val="en-US" w:eastAsia="zh-CN"/>
        </w:rPr>
        <w:t>2.</w:t>
      </w:r>
      <w:r>
        <w:rPr>
          <w:rFonts w:hint="default" w:ascii="Times New Roman" w:hAnsi="Times New Roman" w:eastAsia="仿宋" w:cs="Times New Roman"/>
          <w:b/>
          <w:bCs/>
          <w:color w:val="auto"/>
          <w:sz w:val="24"/>
          <w:szCs w:val="24"/>
          <w:highlight w:val="none"/>
          <w:shd w:val="clear" w:color="auto" w:fill="auto"/>
        </w:rPr>
        <w:t>履行期限</w:t>
      </w:r>
      <w:r>
        <w:rPr>
          <w:rFonts w:hint="eastAsia" w:ascii="Times New Roman" w:hAnsi="Times New Roman" w:eastAsia="仿宋" w:cs="Times New Roman"/>
          <w:b/>
          <w:bCs/>
          <w:color w:val="auto"/>
          <w:sz w:val="24"/>
          <w:szCs w:val="24"/>
          <w:highlight w:val="none"/>
          <w:shd w:val="clear" w:color="auto" w:fill="auto"/>
          <w:lang w:eastAsia="zh-CN"/>
        </w:rPr>
        <w:t>：</w:t>
      </w:r>
      <w:r>
        <w:rPr>
          <w:rFonts w:hint="eastAsia" w:ascii="仿宋" w:hAnsi="仿宋" w:eastAsia="仿宋" w:cs="仿宋"/>
          <w:color w:val="000000"/>
          <w:kern w:val="0"/>
          <w:sz w:val="22"/>
          <w:szCs w:val="22"/>
          <w:highlight w:val="none"/>
          <w:u w:val="none"/>
          <w:lang w:val="en-US" w:eastAsia="zh-CN" w:bidi="ar"/>
        </w:rPr>
        <w:t>2年；</w:t>
      </w:r>
    </w:p>
    <w:p w14:paraId="39CD1221">
      <w:pPr>
        <w:pStyle w:val="5"/>
        <w:ind w:firstLine="480"/>
        <w:jc w:val="left"/>
        <w:rPr>
          <w:rFonts w:hint="eastAsia" w:ascii="仿宋" w:hAnsi="仿宋" w:eastAsia="仿宋" w:cs="仿宋"/>
          <w:b w:val="0"/>
          <w:bCs w:val="0"/>
          <w:sz w:val="24"/>
          <w:szCs w:val="24"/>
          <w:highlight w:val="none"/>
          <w:lang w:val="en-US" w:eastAsia="zh-CN"/>
        </w:rPr>
      </w:pPr>
      <w:r>
        <w:rPr>
          <w:rFonts w:hint="eastAsia" w:ascii="仿宋" w:hAnsi="仿宋" w:eastAsia="仿宋" w:cs="仿宋"/>
          <w:b/>
          <w:bCs/>
          <w:sz w:val="24"/>
          <w:szCs w:val="24"/>
          <w:highlight w:val="none"/>
          <w:lang w:val="en-US" w:eastAsia="zh-CN"/>
        </w:rPr>
        <w:t>3.支付方式：</w:t>
      </w:r>
      <w:r>
        <w:rPr>
          <w:rFonts w:hint="eastAsia" w:ascii="仿宋" w:hAnsi="仿宋" w:eastAsia="仿宋" w:cs="仿宋"/>
          <w:color w:val="000000"/>
          <w:kern w:val="0"/>
          <w:sz w:val="22"/>
          <w:szCs w:val="22"/>
          <w:highlight w:val="none"/>
          <w:u w:val="none"/>
          <w:lang w:val="en-US" w:eastAsia="zh-CN" w:bidi="ar"/>
        </w:rPr>
        <w:t>双方协商确定。</w:t>
      </w:r>
    </w:p>
    <w:p w14:paraId="18121E5C">
      <w:pPr>
        <w:pStyle w:val="5"/>
        <w:ind w:firstLine="480"/>
        <w:jc w:val="left"/>
        <w:rPr>
          <w:rFonts w:hint="default" w:ascii="仿宋" w:hAnsi="仿宋" w:eastAsia="仿宋" w:cs="仿宋"/>
          <w:b/>
          <w:bCs/>
          <w:sz w:val="24"/>
          <w:szCs w:val="24"/>
          <w:lang w:val="en-US" w:eastAsia="zh-CN"/>
        </w:rPr>
      </w:pPr>
      <w:r>
        <w:rPr>
          <w:rFonts w:hint="eastAsia" w:ascii="仿宋" w:hAnsi="仿宋" w:eastAsia="仿宋" w:cs="仿宋"/>
          <w:b/>
          <w:bCs/>
          <w:sz w:val="24"/>
          <w:szCs w:val="24"/>
          <w:highlight w:val="none"/>
          <w:lang w:val="en-US" w:eastAsia="zh-CN"/>
        </w:rPr>
        <w:t>4.</w:t>
      </w:r>
      <w:r>
        <w:rPr>
          <w:rFonts w:hint="default" w:ascii="仿宋" w:hAnsi="仿宋" w:eastAsia="仿宋" w:cs="仿宋"/>
          <w:b/>
          <w:bCs/>
          <w:sz w:val="24"/>
          <w:szCs w:val="24"/>
          <w:highlight w:val="none"/>
          <w:lang w:val="en-US" w:eastAsia="zh-CN"/>
        </w:rPr>
        <w:t>履约验收程序</w:t>
      </w:r>
      <w:r>
        <w:rPr>
          <w:rFonts w:hint="eastAsia" w:ascii="仿宋" w:hAnsi="仿宋" w:eastAsia="仿宋" w:cs="仿宋"/>
          <w:b/>
          <w:bCs/>
          <w:sz w:val="24"/>
          <w:szCs w:val="24"/>
          <w:highlight w:val="none"/>
          <w:lang w:val="en-US" w:eastAsia="zh-CN"/>
        </w:rPr>
        <w:t>：</w:t>
      </w:r>
      <w:r>
        <w:rPr>
          <w:rFonts w:hint="eastAsia" w:ascii="仿宋" w:hAnsi="仿宋" w:eastAsia="仿宋" w:cs="仿宋"/>
          <w:color w:val="000000"/>
          <w:kern w:val="0"/>
          <w:sz w:val="22"/>
          <w:szCs w:val="22"/>
          <w:highlight w:val="none"/>
          <w:u w:val="none"/>
          <w:lang w:val="en-US" w:eastAsia="zh-CN" w:bidi="ar"/>
        </w:rPr>
        <w:t>分批次</w:t>
      </w:r>
      <w:r>
        <w:rPr>
          <w:rFonts w:hint="eastAsia" w:ascii="仿宋" w:hAnsi="仿宋" w:eastAsia="仿宋" w:cs="仿宋"/>
          <w:color w:val="000000"/>
          <w:kern w:val="0"/>
          <w:sz w:val="22"/>
          <w:szCs w:val="22"/>
          <w:u w:val="none"/>
          <w:lang w:val="en-US" w:eastAsia="zh-CN" w:bidi="ar"/>
        </w:rPr>
        <w:t>验收。</w:t>
      </w:r>
    </w:p>
    <w:p w14:paraId="5157E165">
      <w:r>
        <w:rPr>
          <w:rFonts w:hint="eastAsia" w:ascii="仿宋" w:hAnsi="仿宋" w:eastAsia="仿宋" w:cs="仿宋"/>
          <w:b/>
          <w:bCs/>
          <w:sz w:val="24"/>
          <w:szCs w:val="24"/>
          <w:lang w:val="en-US" w:eastAsia="zh-CN"/>
        </w:rPr>
        <w:t>5.</w:t>
      </w:r>
      <w:r>
        <w:rPr>
          <w:rFonts w:hint="default" w:ascii="仿宋" w:hAnsi="仿宋" w:eastAsia="仿宋" w:cs="仿宋"/>
          <w:b/>
          <w:bCs/>
          <w:sz w:val="24"/>
          <w:szCs w:val="24"/>
          <w:lang w:val="en-US" w:eastAsia="zh-CN"/>
        </w:rPr>
        <w:t>履约验收时间：</w:t>
      </w:r>
      <w:r>
        <w:rPr>
          <w:rFonts w:hint="default" w:ascii="仿宋" w:hAnsi="仿宋" w:eastAsia="仿宋" w:cs="仿宋"/>
          <w:color w:val="000000"/>
          <w:kern w:val="0"/>
          <w:sz w:val="22"/>
          <w:szCs w:val="22"/>
          <w:u w:val="none"/>
          <w:lang w:val="en-US" w:eastAsia="zh-CN" w:bidi="ar"/>
        </w:rPr>
        <w:t>合同期限内，根据</w:t>
      </w:r>
      <w:r>
        <w:rPr>
          <w:rFonts w:hint="eastAsia" w:ascii="仿宋" w:hAnsi="仿宋" w:eastAsia="仿宋" w:cs="仿宋"/>
          <w:color w:val="000000"/>
          <w:kern w:val="0"/>
          <w:sz w:val="22"/>
          <w:szCs w:val="22"/>
          <w:u w:val="none"/>
          <w:lang w:val="en-US" w:eastAsia="zh-CN" w:bidi="ar"/>
        </w:rPr>
        <w:t>采购人</w:t>
      </w:r>
      <w:r>
        <w:rPr>
          <w:rFonts w:hint="default" w:ascii="仿宋" w:hAnsi="仿宋" w:eastAsia="仿宋" w:cs="仿宋"/>
          <w:color w:val="000000"/>
          <w:kern w:val="0"/>
          <w:sz w:val="22"/>
          <w:szCs w:val="22"/>
          <w:u w:val="none"/>
          <w:lang w:val="en-US" w:eastAsia="zh-CN" w:bidi="ar"/>
        </w:rPr>
        <w:t>要求分批次送货，完成送货、验收入库视为验收完成</w:t>
      </w:r>
      <w:r>
        <w:rPr>
          <w:rFonts w:hint="eastAsia" w:ascii="仿宋" w:hAnsi="仿宋" w:eastAsia="仿宋" w:cs="仿宋"/>
          <w:color w:val="000000"/>
          <w:kern w:val="0"/>
          <w:sz w:val="22"/>
          <w:szCs w:val="22"/>
          <w:u w:val="none"/>
          <w:lang w:val="en-US" w:eastAsia="zh-CN" w:bidi="ar"/>
        </w:rPr>
        <w:t>。</w:t>
      </w:r>
      <w:r>
        <w:rPr>
          <w:rFonts w:hint="eastAsia" w:ascii="仿宋" w:hAnsi="仿宋" w:eastAsia="仿宋" w:cs="仿宋"/>
          <w:color w:val="000000"/>
          <w:kern w:val="0"/>
          <w:sz w:val="22"/>
          <w:szCs w:val="22"/>
          <w:u w:val="none"/>
          <w:lang w:val="en-US" w:eastAsia="zh-CN" w:bidi="ar"/>
        </w:rPr>
        <w:br w:type="textWrapp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7F66F5"/>
    <w:rsid w:val="108B406B"/>
    <w:rsid w:val="1ACE595C"/>
    <w:rsid w:val="1C087621"/>
    <w:rsid w:val="312E4E5B"/>
    <w:rsid w:val="368372FD"/>
    <w:rsid w:val="3E441D93"/>
    <w:rsid w:val="6B3117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3698</Words>
  <Characters>3784</Characters>
  <Lines>0</Lines>
  <Paragraphs>0</Paragraphs>
  <TotalTime>0</TotalTime>
  <ScaleCrop>false</ScaleCrop>
  <LinksUpToDate>false</LinksUpToDate>
  <CharactersWithSpaces>3789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郑yueJun</cp:lastModifiedBy>
  <dcterms:modified xsi:type="dcterms:W3CDTF">2025-03-14T08:12:55Z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eyJoZGlkIjoiYmI2YjEyYmE5YWUyODNkZDYyMWI0ZDY4ZjJhMDNmMzkiLCJ1c2VySWQiOiIyMzAwNTE5MTUifQ==</vt:lpwstr>
  </property>
  <property fmtid="{D5CDD505-2E9C-101B-9397-08002B2CF9AE}" pid="4" name="ICV">
    <vt:lpwstr>528A4CAFCD7B4E8FB5B981D98D542E32_13</vt:lpwstr>
  </property>
</Properties>
</file>