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8F39C">
      <w:pPr>
        <w:pStyle w:val="6"/>
        <w:jc w:val="center"/>
        <w:outlineLvl w:val="0"/>
        <w:rPr>
          <w:rFonts w:hint="eastAsia" w:ascii="仿宋" w:hAnsi="仿宋" w:eastAsia="仿宋" w:cs="仿宋"/>
          <w:highlight w:val="none"/>
        </w:rPr>
      </w:pPr>
      <w:bookmarkStart w:id="1" w:name="_GoBack"/>
      <w:bookmarkEnd w:id="1"/>
      <w:bookmarkStart w:id="0" w:name="_Toc27801"/>
      <w:r>
        <w:rPr>
          <w:rFonts w:hint="eastAsia" w:ascii="仿宋" w:hAnsi="仿宋" w:eastAsia="仿宋" w:cs="仿宋"/>
          <w:b/>
          <w:sz w:val="36"/>
          <w:highlight w:val="none"/>
        </w:rPr>
        <w:t>第三章 技术、服务及其他要求</w:t>
      </w:r>
      <w:bookmarkEnd w:id="0"/>
    </w:p>
    <w:p w14:paraId="694160BA">
      <w:pPr>
        <w:pStyle w:val="6"/>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3CAB384E">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tbl>
      <w:tblPr>
        <w:tblStyle w:val="3"/>
        <w:tblW w:w="9518" w:type="dxa"/>
        <w:tblInd w:w="-4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04"/>
        <w:gridCol w:w="2605"/>
        <w:gridCol w:w="1594"/>
        <w:gridCol w:w="1665"/>
        <w:gridCol w:w="1623"/>
        <w:gridCol w:w="1227"/>
      </w:tblGrid>
      <w:tr w14:paraId="026FC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8" w:hRule="atLeast"/>
        </w:trPr>
        <w:tc>
          <w:tcPr>
            <w:tcW w:w="804"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125B7C5">
            <w:pPr>
              <w:keepNext w:val="0"/>
              <w:keepLines w:val="0"/>
              <w:pageBreakBefore w:val="0"/>
              <w:kinsoku/>
              <w:wordWrap w:val="0"/>
              <w:overflowPunct/>
              <w:topLinePunct/>
              <w:autoSpaceDE/>
              <w:autoSpaceDN/>
              <w:bidi w:val="0"/>
              <w:adjustRightInd/>
              <w:snapToGrid/>
              <w:spacing w:line="240" w:lineRule="auto"/>
              <w:jc w:val="center"/>
              <w:textAlignment w:val="auto"/>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序号</w:t>
            </w:r>
          </w:p>
        </w:tc>
        <w:tc>
          <w:tcPr>
            <w:tcW w:w="260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C56AE31">
            <w:pPr>
              <w:keepNext w:val="0"/>
              <w:keepLines w:val="0"/>
              <w:pageBreakBefore w:val="0"/>
              <w:kinsoku/>
              <w:wordWrap w:val="0"/>
              <w:overflowPunct/>
              <w:topLinePunct/>
              <w:autoSpaceDE/>
              <w:autoSpaceDN/>
              <w:bidi w:val="0"/>
              <w:adjustRightInd/>
              <w:snapToGrid/>
              <w:spacing w:line="240" w:lineRule="auto"/>
              <w:jc w:val="center"/>
              <w:textAlignment w:val="auto"/>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标的名称</w:t>
            </w:r>
          </w:p>
        </w:tc>
        <w:tc>
          <w:tcPr>
            <w:tcW w:w="1594"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627A91B">
            <w:pPr>
              <w:keepNext w:val="0"/>
              <w:keepLines w:val="0"/>
              <w:pageBreakBefore w:val="0"/>
              <w:kinsoku/>
              <w:wordWrap w:val="0"/>
              <w:overflowPunct/>
              <w:topLinePunct/>
              <w:autoSpaceDE/>
              <w:autoSpaceDN/>
              <w:bidi w:val="0"/>
              <w:adjustRightInd/>
              <w:snapToGrid/>
              <w:spacing w:line="240" w:lineRule="auto"/>
              <w:jc w:val="center"/>
              <w:textAlignment w:val="auto"/>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仿宋" w:hAnsi="仿宋" w:eastAsia="仿宋" w:cs="仿宋"/>
                <w:highlight w:val="none"/>
              </w:rPr>
              <w:t>★</w:t>
            </w:r>
            <w:r>
              <w:rPr>
                <w:rFonts w:hint="eastAsia" w:ascii="Times New Roman" w:hAnsi="Times New Roman" w:eastAsia="仿宋" w:cs="Times New Roman"/>
                <w:b/>
                <w:bCs/>
                <w:color w:val="auto"/>
                <w:sz w:val="18"/>
                <w:szCs w:val="18"/>
                <w:highlight w:val="none"/>
                <w:shd w:val="clear" w:color="auto" w:fill="auto"/>
                <w:lang w:val="en-US" w:eastAsia="zh-CN"/>
              </w:rPr>
              <w:t>单价最高限价（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c>
          <w:tcPr>
            <w:tcW w:w="166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EDB4C04">
            <w:pPr>
              <w:keepNext w:val="0"/>
              <w:keepLines w:val="0"/>
              <w:pageBreakBefore w:val="0"/>
              <w:kinsoku/>
              <w:wordWrap w:val="0"/>
              <w:overflowPunct/>
              <w:topLinePunct/>
              <w:autoSpaceDE/>
              <w:autoSpaceDN/>
              <w:bidi w:val="0"/>
              <w:adjustRightInd/>
              <w:snapToGrid/>
              <w:spacing w:line="240" w:lineRule="auto"/>
              <w:jc w:val="center"/>
              <w:textAlignment w:val="auto"/>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预估</w:t>
            </w:r>
            <w:r>
              <w:rPr>
                <w:rFonts w:hint="default" w:ascii="Times New Roman" w:hAnsi="Times New Roman" w:eastAsia="仿宋" w:cs="Times New Roman"/>
                <w:b/>
                <w:bCs/>
                <w:color w:val="auto"/>
                <w:sz w:val="18"/>
                <w:szCs w:val="18"/>
                <w:highlight w:val="none"/>
                <w:shd w:val="clear" w:color="auto" w:fill="auto"/>
                <w:lang w:val="en-US" w:eastAsia="zh-CN"/>
              </w:rPr>
              <w:t>数量</w:t>
            </w:r>
          </w:p>
        </w:tc>
        <w:tc>
          <w:tcPr>
            <w:tcW w:w="1623"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740D300">
            <w:pPr>
              <w:keepNext w:val="0"/>
              <w:keepLines w:val="0"/>
              <w:pageBreakBefore w:val="0"/>
              <w:kinsoku/>
              <w:wordWrap w:val="0"/>
              <w:overflowPunct/>
              <w:topLinePunct/>
              <w:autoSpaceDE/>
              <w:autoSpaceDN/>
              <w:bidi w:val="0"/>
              <w:adjustRightInd/>
              <w:snapToGrid/>
              <w:spacing w:line="240" w:lineRule="auto"/>
              <w:jc w:val="center"/>
              <w:textAlignment w:val="auto"/>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仿宋" w:hAnsi="仿宋" w:eastAsia="仿宋" w:cs="仿宋"/>
                <w:highlight w:val="none"/>
              </w:rPr>
              <w:t>★</w:t>
            </w:r>
            <w:r>
              <w:rPr>
                <w:rFonts w:hint="default" w:ascii="Times New Roman" w:hAnsi="Times New Roman" w:eastAsia="仿宋" w:cs="Times New Roman"/>
                <w:b/>
                <w:bCs/>
                <w:color w:val="auto"/>
                <w:sz w:val="18"/>
                <w:szCs w:val="18"/>
                <w:highlight w:val="none"/>
                <w:shd w:val="clear" w:color="auto" w:fill="auto"/>
                <w:lang w:val="en-US" w:eastAsia="zh-CN"/>
              </w:rPr>
              <w:t>计量单位</w:t>
            </w:r>
          </w:p>
        </w:tc>
        <w:tc>
          <w:tcPr>
            <w:tcW w:w="122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980E4A9">
            <w:pPr>
              <w:keepNext w:val="0"/>
              <w:keepLines w:val="0"/>
              <w:pageBreakBefore w:val="0"/>
              <w:kinsoku/>
              <w:wordWrap w:val="0"/>
              <w:overflowPunct/>
              <w:topLinePunct/>
              <w:autoSpaceDE/>
              <w:autoSpaceDN/>
              <w:bidi w:val="0"/>
              <w:adjustRightInd/>
              <w:snapToGrid/>
              <w:spacing w:line="240" w:lineRule="auto"/>
              <w:jc w:val="center"/>
              <w:textAlignment w:val="auto"/>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最高限价（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r>
      <w:tr w14:paraId="08BB2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6317A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1</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2DBC1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一次性使用吸头（一）</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D036AF3">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0.12</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028E7D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200000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0971A0">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E02DA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24000</w:t>
            </w:r>
          </w:p>
        </w:tc>
      </w:tr>
      <w:tr w14:paraId="6E10B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1E56A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E4850E">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一次性使用吸头（二）</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21FB6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0.12</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34515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50000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E57AA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687E5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6000</w:t>
            </w:r>
          </w:p>
        </w:tc>
      </w:tr>
      <w:tr w14:paraId="63E3D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18063C">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3</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4DB02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一次性使用滤芯吸头（一）</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0A4EF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0.46</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C5382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50000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3061D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B5CF76">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23000</w:t>
            </w:r>
          </w:p>
        </w:tc>
      </w:tr>
      <w:tr w14:paraId="70014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A3966D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4</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025F1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一次性使用滤芯吸头（二）</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B37586">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0.46</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C6C55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120000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2FCBAB">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9F183D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55200</w:t>
            </w:r>
          </w:p>
        </w:tc>
      </w:tr>
      <w:tr w14:paraId="73598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69647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5</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3F70B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一次性使用微量采血吸管</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A7827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36</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92017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F688F6">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筒</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508F3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7200</w:t>
            </w:r>
          </w:p>
        </w:tc>
      </w:tr>
      <w:tr w14:paraId="2FBAC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1BD80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6</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B0211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一次性使用离心管</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EE8AF2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0.14</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D17D6F">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50000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608CE3">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台</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D05CCE">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7000</w:t>
            </w:r>
          </w:p>
        </w:tc>
      </w:tr>
      <w:tr w14:paraId="6B95A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78D20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7</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1FE59E">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一次性使用抗凝管</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2EC5C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0.14</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1265F4">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90000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EAA5D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B9286F">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12600</w:t>
            </w:r>
          </w:p>
        </w:tc>
      </w:tr>
      <w:tr w14:paraId="42CA0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DC51AC">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8</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B9704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试管架</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E13BA3B">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24</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763E76">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100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220A56">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个</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639E0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2400</w:t>
            </w:r>
          </w:p>
        </w:tc>
      </w:tr>
      <w:tr w14:paraId="4D458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8BFB00">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9</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295E23">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香柏油</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E0EB6C">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14</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66FD0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99B129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瓶</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AC0EA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2800</w:t>
            </w:r>
          </w:p>
        </w:tc>
      </w:tr>
      <w:tr w14:paraId="0240F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25945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23C67F">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管联配平盖</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24487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0.14</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0C620B">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50000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F3BC3C">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把</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A756994">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7000</w:t>
            </w:r>
          </w:p>
        </w:tc>
      </w:tr>
      <w:tr w14:paraId="28CEB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BD91D3">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11</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88AA2C">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高级擦镜纸</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2CCD48">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5</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0FD1E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07C47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本</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C0C7F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1000</w:t>
            </w:r>
          </w:p>
        </w:tc>
      </w:tr>
      <w:tr w14:paraId="719A5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36B323">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E174A0">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一次性使用试管塞</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8972E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270</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68B25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5</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853361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袋</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A8AB14">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1350</w:t>
            </w:r>
          </w:p>
        </w:tc>
      </w:tr>
      <w:tr w14:paraId="06526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9A8E20">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13</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1B2A72F">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一次性使用试管（一）</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64D61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0.16</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85909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A8D3628">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F03D9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32000</w:t>
            </w:r>
          </w:p>
        </w:tc>
      </w:tr>
      <w:tr w14:paraId="0FBF5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8F85A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14</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26CA9F">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一次性使用试管（二）</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8A1D70">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0.75</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C6E328">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9F132E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2DE96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7500</w:t>
            </w:r>
          </w:p>
        </w:tc>
      </w:tr>
      <w:tr w14:paraId="3C883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5C1A4F">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15</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B5B8C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一次性使用试管（三）</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6B254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0.19</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F7B09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1B5569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95155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1140</w:t>
            </w:r>
          </w:p>
        </w:tc>
      </w:tr>
      <w:tr w14:paraId="4EBFE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514D9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16</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E446EF6">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手动可调式移液器</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BBA51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600</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5ECBF4">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CDEE6B">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把</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B31D9BE">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3600</w:t>
            </w:r>
          </w:p>
        </w:tc>
      </w:tr>
      <w:tr w14:paraId="51482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F764D6">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17</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77C65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样本杯</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D74D1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0.35</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F308B0">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70000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BBA34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个</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130724">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宋体" w:hAnsi="宋体" w:eastAsia="宋体" w:cs="宋体"/>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0"/>
                <w:szCs w:val="20"/>
                <w:highlight w:val="none"/>
                <w:u w:val="none"/>
                <w:lang w:val="en-US" w:eastAsia="zh-CN" w:bidi="ar"/>
              </w:rPr>
              <w:t>24500</w:t>
            </w:r>
          </w:p>
        </w:tc>
      </w:tr>
    </w:tbl>
    <w:p w14:paraId="054EDF39">
      <w:pPr>
        <w:pStyle w:val="6"/>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val="en-US" w:eastAsia="zh-CN"/>
        </w:rPr>
        <w:t>1.</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5D6AB940">
      <w:pPr>
        <w:pStyle w:val="6"/>
        <w:ind w:firstLine="480"/>
        <w:jc w:val="left"/>
        <w:rPr>
          <w:rFonts w:hint="default" w:ascii="仿宋" w:hAnsi="仿宋" w:eastAsia="仿宋" w:cs="仿宋"/>
          <w:highlight w:val="none"/>
          <w:lang w:val="en-US" w:eastAsia="zh-CN"/>
        </w:rPr>
      </w:pPr>
      <w:r>
        <w:rPr>
          <w:rFonts w:hint="eastAsia" w:ascii="仿宋" w:hAnsi="仿宋" w:eastAsia="仿宋" w:cs="仿宋"/>
          <w:highlight w:val="none"/>
          <w:lang w:val="en-US" w:eastAsia="zh-CN"/>
        </w:rPr>
        <w:t>2.</w:t>
      </w:r>
      <w:r>
        <w:rPr>
          <w:rFonts w:hint="eastAsia" w:ascii="仿宋" w:hAnsi="仿宋" w:eastAsia="仿宋" w:cs="仿宋"/>
          <w:sz w:val="22"/>
          <w:szCs w:val="22"/>
          <w:highlight w:val="none"/>
          <w:lang w:val="en-US" w:eastAsia="zh-CN"/>
        </w:rPr>
        <w:t>本项目货物均为按需采购，据实结算。</w:t>
      </w:r>
    </w:p>
    <w:p w14:paraId="41F9D44E">
      <w:pPr>
        <w:pStyle w:val="6"/>
        <w:jc w:val="left"/>
        <w:rPr>
          <w:rFonts w:hint="eastAsia" w:ascii="仿宋" w:hAnsi="仿宋" w:eastAsia="仿宋" w:cs="仿宋"/>
          <w:highlight w:val="none"/>
        </w:rPr>
      </w:pPr>
    </w:p>
    <w:p w14:paraId="1EBAF1E9">
      <w:pPr>
        <w:pStyle w:val="6"/>
        <w:jc w:val="left"/>
        <w:outlineLvl w:val="1"/>
        <w:rPr>
          <w:rFonts w:hint="eastAsia" w:ascii="仿宋" w:hAnsi="仿宋" w:eastAsia="仿宋" w:cs="仿宋"/>
          <w:b/>
          <w:bCs w:val="0"/>
          <w:highlight w:val="none"/>
          <w:lang w:eastAsia="zh-CN"/>
        </w:rPr>
      </w:pPr>
      <w:r>
        <w:rPr>
          <w:rFonts w:hint="eastAsia" w:ascii="仿宋" w:hAnsi="仿宋" w:eastAsia="仿宋" w:cs="仿宋"/>
          <w:b/>
          <w:bCs w:val="0"/>
          <w:sz w:val="28"/>
          <w:highlight w:val="none"/>
        </w:rPr>
        <w:t>3.2.技术要求</w:t>
      </w:r>
    </w:p>
    <w:tbl>
      <w:tblPr>
        <w:tblStyle w:val="4"/>
        <w:tblW w:w="81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3285"/>
        <w:gridCol w:w="4080"/>
      </w:tblGrid>
      <w:tr w14:paraId="04E0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noWrap w:val="0"/>
            <w:vAlign w:val="top"/>
          </w:tcPr>
          <w:p w14:paraId="303AD01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序号</w:t>
            </w:r>
          </w:p>
        </w:tc>
        <w:tc>
          <w:tcPr>
            <w:tcW w:w="3285" w:type="dxa"/>
            <w:noWrap w:val="0"/>
            <w:vAlign w:val="top"/>
          </w:tcPr>
          <w:p w14:paraId="506909CF">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sz w:val="21"/>
                <w:szCs w:val="21"/>
                <w:highlight w:val="none"/>
                <w:shd w:val="clear" w:color="auto" w:fill="auto"/>
                <w:lang w:val="en-US" w:eastAsia="zh-CN"/>
              </w:rPr>
              <w:t>标的名称</w:t>
            </w:r>
          </w:p>
        </w:tc>
        <w:tc>
          <w:tcPr>
            <w:tcW w:w="4080" w:type="dxa"/>
            <w:noWrap w:val="0"/>
            <w:vAlign w:val="top"/>
          </w:tcPr>
          <w:p w14:paraId="36BB7EB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参考规格</w:t>
            </w:r>
          </w:p>
        </w:tc>
      </w:tr>
      <w:tr w14:paraId="6F1A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noWrap w:val="0"/>
            <w:vAlign w:val="center"/>
          </w:tcPr>
          <w:p w14:paraId="4641E2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w:t>
            </w:r>
          </w:p>
        </w:tc>
        <w:tc>
          <w:tcPr>
            <w:tcW w:w="3285" w:type="dxa"/>
            <w:noWrap w:val="0"/>
            <w:vAlign w:val="center"/>
          </w:tcPr>
          <w:p w14:paraId="2E5AB5FF">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highlight w:val="none"/>
                <w:u w:val="none"/>
                <w:lang w:val="en-US" w:eastAsia="zh-CN" w:bidi="ar"/>
              </w:rPr>
              <w:t>一次性使用吸头（一）</w:t>
            </w:r>
          </w:p>
        </w:tc>
        <w:tc>
          <w:tcPr>
            <w:tcW w:w="4080" w:type="dxa"/>
            <w:noWrap w:val="0"/>
            <w:vAlign w:val="center"/>
          </w:tcPr>
          <w:p w14:paraId="0C22486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6*52，0.5-200ul</w:t>
            </w:r>
          </w:p>
        </w:tc>
      </w:tr>
      <w:tr w14:paraId="280F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6BE4D2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2</w:t>
            </w:r>
          </w:p>
        </w:tc>
        <w:tc>
          <w:tcPr>
            <w:tcW w:w="3285" w:type="dxa"/>
            <w:noWrap w:val="0"/>
            <w:vAlign w:val="center"/>
          </w:tcPr>
          <w:p w14:paraId="31AC9BFE">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highlight w:val="none"/>
                <w:u w:val="none"/>
                <w:lang w:val="en-US" w:eastAsia="zh-CN" w:bidi="ar"/>
              </w:rPr>
              <w:t>一次性使用吸头（二）</w:t>
            </w:r>
          </w:p>
        </w:tc>
        <w:tc>
          <w:tcPr>
            <w:tcW w:w="4080" w:type="dxa"/>
            <w:noWrap w:val="0"/>
            <w:vAlign w:val="center"/>
          </w:tcPr>
          <w:p w14:paraId="0CC9EC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8*71，1000ul</w:t>
            </w:r>
          </w:p>
        </w:tc>
      </w:tr>
      <w:tr w14:paraId="45E8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000F85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3</w:t>
            </w:r>
          </w:p>
        </w:tc>
        <w:tc>
          <w:tcPr>
            <w:tcW w:w="3285" w:type="dxa"/>
            <w:noWrap w:val="0"/>
            <w:vAlign w:val="center"/>
          </w:tcPr>
          <w:p w14:paraId="7C6C5780">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一次性使用滤芯吸头（一）</w:t>
            </w:r>
          </w:p>
        </w:tc>
        <w:tc>
          <w:tcPr>
            <w:tcW w:w="4080" w:type="dxa"/>
            <w:noWrap w:val="0"/>
            <w:vAlign w:val="center"/>
          </w:tcPr>
          <w:p w14:paraId="738A9E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6*52</w:t>
            </w:r>
          </w:p>
        </w:tc>
      </w:tr>
      <w:tr w14:paraId="199E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50EE53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4</w:t>
            </w:r>
          </w:p>
        </w:tc>
        <w:tc>
          <w:tcPr>
            <w:tcW w:w="3285" w:type="dxa"/>
            <w:noWrap w:val="0"/>
            <w:vAlign w:val="center"/>
          </w:tcPr>
          <w:p w14:paraId="2052359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一次性使用滤芯吸头（二）</w:t>
            </w:r>
          </w:p>
        </w:tc>
        <w:tc>
          <w:tcPr>
            <w:tcW w:w="4080" w:type="dxa"/>
            <w:noWrap w:val="0"/>
            <w:vAlign w:val="center"/>
          </w:tcPr>
          <w:p w14:paraId="1F8B2C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8*71</w:t>
            </w:r>
          </w:p>
        </w:tc>
      </w:tr>
      <w:tr w14:paraId="5743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11AB03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5</w:t>
            </w:r>
          </w:p>
        </w:tc>
        <w:tc>
          <w:tcPr>
            <w:tcW w:w="3285" w:type="dxa"/>
            <w:noWrap w:val="0"/>
            <w:vAlign w:val="center"/>
          </w:tcPr>
          <w:p w14:paraId="76FF6E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一次性使用微量采血吸管</w:t>
            </w:r>
          </w:p>
        </w:tc>
        <w:tc>
          <w:tcPr>
            <w:tcW w:w="4080" w:type="dxa"/>
            <w:noWrap w:val="0"/>
            <w:vAlign w:val="center"/>
          </w:tcPr>
          <w:p w14:paraId="1E2D82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40ul，400支/筒</w:t>
            </w:r>
          </w:p>
        </w:tc>
      </w:tr>
      <w:tr w14:paraId="5CB4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02FD40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6</w:t>
            </w:r>
          </w:p>
        </w:tc>
        <w:tc>
          <w:tcPr>
            <w:tcW w:w="3285" w:type="dxa"/>
            <w:noWrap w:val="0"/>
            <w:vAlign w:val="center"/>
          </w:tcPr>
          <w:p w14:paraId="3D92C7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一次性使用离心管</w:t>
            </w:r>
          </w:p>
        </w:tc>
        <w:tc>
          <w:tcPr>
            <w:tcW w:w="4080" w:type="dxa"/>
            <w:noWrap w:val="0"/>
            <w:vAlign w:val="center"/>
          </w:tcPr>
          <w:p w14:paraId="3EA53D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1.5ml</w:t>
            </w:r>
          </w:p>
        </w:tc>
      </w:tr>
      <w:tr w14:paraId="5C79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32594F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7</w:t>
            </w:r>
          </w:p>
        </w:tc>
        <w:tc>
          <w:tcPr>
            <w:tcW w:w="3285" w:type="dxa"/>
            <w:noWrap w:val="0"/>
            <w:vAlign w:val="center"/>
          </w:tcPr>
          <w:p w14:paraId="46FBBF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一次性使用抗凝管</w:t>
            </w:r>
          </w:p>
        </w:tc>
        <w:tc>
          <w:tcPr>
            <w:tcW w:w="4080" w:type="dxa"/>
            <w:noWrap w:val="0"/>
            <w:vAlign w:val="center"/>
          </w:tcPr>
          <w:p w14:paraId="469215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1.5ml</w:t>
            </w:r>
          </w:p>
        </w:tc>
      </w:tr>
      <w:tr w14:paraId="45B3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05F239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8</w:t>
            </w:r>
          </w:p>
        </w:tc>
        <w:tc>
          <w:tcPr>
            <w:tcW w:w="3285" w:type="dxa"/>
            <w:noWrap w:val="0"/>
            <w:vAlign w:val="center"/>
          </w:tcPr>
          <w:p w14:paraId="5E9851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试管架</w:t>
            </w:r>
          </w:p>
        </w:tc>
        <w:tc>
          <w:tcPr>
            <w:tcW w:w="4080" w:type="dxa"/>
            <w:noWrap w:val="0"/>
            <w:vAlign w:val="center"/>
          </w:tcPr>
          <w:p w14:paraId="175FE5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10ml、96孔</w:t>
            </w:r>
          </w:p>
        </w:tc>
      </w:tr>
      <w:tr w14:paraId="7AC5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7DEC02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9</w:t>
            </w:r>
          </w:p>
        </w:tc>
        <w:tc>
          <w:tcPr>
            <w:tcW w:w="3285" w:type="dxa"/>
            <w:noWrap w:val="0"/>
            <w:vAlign w:val="center"/>
          </w:tcPr>
          <w:p w14:paraId="1342FD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香柏油</w:t>
            </w:r>
          </w:p>
        </w:tc>
        <w:tc>
          <w:tcPr>
            <w:tcW w:w="4080" w:type="dxa"/>
            <w:noWrap w:val="0"/>
            <w:vAlign w:val="center"/>
          </w:tcPr>
          <w:p w14:paraId="0CA10E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25ml</w:t>
            </w:r>
          </w:p>
        </w:tc>
      </w:tr>
      <w:tr w14:paraId="3329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2AC242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10</w:t>
            </w:r>
          </w:p>
        </w:tc>
        <w:tc>
          <w:tcPr>
            <w:tcW w:w="3285" w:type="dxa"/>
            <w:noWrap w:val="0"/>
            <w:vAlign w:val="center"/>
          </w:tcPr>
          <w:p w14:paraId="3C87CF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管联配平盖</w:t>
            </w:r>
          </w:p>
        </w:tc>
        <w:tc>
          <w:tcPr>
            <w:tcW w:w="4080" w:type="dxa"/>
            <w:noWrap w:val="0"/>
            <w:vAlign w:val="center"/>
          </w:tcPr>
          <w:p w14:paraId="4B6562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8联配平盖</w:t>
            </w:r>
          </w:p>
        </w:tc>
      </w:tr>
      <w:tr w14:paraId="3818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22DD3A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11</w:t>
            </w:r>
          </w:p>
        </w:tc>
        <w:tc>
          <w:tcPr>
            <w:tcW w:w="3285" w:type="dxa"/>
            <w:noWrap w:val="0"/>
            <w:vAlign w:val="center"/>
          </w:tcPr>
          <w:p w14:paraId="4AB4F8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高级擦镜纸</w:t>
            </w:r>
          </w:p>
        </w:tc>
        <w:tc>
          <w:tcPr>
            <w:tcW w:w="4080" w:type="dxa"/>
            <w:noWrap w:val="0"/>
            <w:vAlign w:val="center"/>
          </w:tcPr>
          <w:p w14:paraId="74FF2F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10*15cm</w:t>
            </w:r>
          </w:p>
        </w:tc>
      </w:tr>
      <w:tr w14:paraId="6BF5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24527E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12</w:t>
            </w:r>
          </w:p>
        </w:tc>
        <w:tc>
          <w:tcPr>
            <w:tcW w:w="3285" w:type="dxa"/>
            <w:noWrap w:val="0"/>
            <w:vAlign w:val="center"/>
          </w:tcPr>
          <w:p w14:paraId="38DCCA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一次性使用试管塞</w:t>
            </w:r>
          </w:p>
        </w:tc>
        <w:tc>
          <w:tcPr>
            <w:tcW w:w="4080" w:type="dxa"/>
            <w:noWrap w:val="0"/>
            <w:vAlign w:val="center"/>
          </w:tcPr>
          <w:p w14:paraId="5164F2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翼型Φ13，2000支/袋</w:t>
            </w:r>
          </w:p>
        </w:tc>
      </w:tr>
      <w:tr w14:paraId="2A22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3A25EB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13</w:t>
            </w:r>
          </w:p>
        </w:tc>
        <w:tc>
          <w:tcPr>
            <w:tcW w:w="3285" w:type="dxa"/>
            <w:noWrap w:val="0"/>
            <w:vAlign w:val="center"/>
          </w:tcPr>
          <w:p w14:paraId="574D6DF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一次性使用试管（一）</w:t>
            </w:r>
          </w:p>
        </w:tc>
        <w:tc>
          <w:tcPr>
            <w:tcW w:w="4080" w:type="dxa"/>
            <w:noWrap w:val="0"/>
            <w:vAlign w:val="center"/>
          </w:tcPr>
          <w:p w14:paraId="044117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12*75</w:t>
            </w:r>
          </w:p>
        </w:tc>
      </w:tr>
      <w:tr w14:paraId="5ED0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085A02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14</w:t>
            </w:r>
          </w:p>
        </w:tc>
        <w:tc>
          <w:tcPr>
            <w:tcW w:w="3285" w:type="dxa"/>
            <w:noWrap w:val="0"/>
            <w:vAlign w:val="center"/>
          </w:tcPr>
          <w:p w14:paraId="3693ADBB">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一次性使用试管（二）</w:t>
            </w:r>
          </w:p>
        </w:tc>
        <w:tc>
          <w:tcPr>
            <w:tcW w:w="4080" w:type="dxa"/>
            <w:noWrap w:val="0"/>
            <w:vAlign w:val="center"/>
          </w:tcPr>
          <w:p w14:paraId="73122F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圆头15*100</w:t>
            </w:r>
          </w:p>
        </w:tc>
      </w:tr>
      <w:tr w14:paraId="43A4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6D2943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15</w:t>
            </w:r>
          </w:p>
        </w:tc>
        <w:tc>
          <w:tcPr>
            <w:tcW w:w="3285" w:type="dxa"/>
            <w:noWrap w:val="0"/>
            <w:vAlign w:val="center"/>
          </w:tcPr>
          <w:p w14:paraId="699143DC">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一次性使用试管（三）</w:t>
            </w:r>
          </w:p>
        </w:tc>
        <w:tc>
          <w:tcPr>
            <w:tcW w:w="4080" w:type="dxa"/>
            <w:noWrap w:val="0"/>
            <w:vAlign w:val="center"/>
          </w:tcPr>
          <w:p w14:paraId="5514CF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12*100</w:t>
            </w:r>
          </w:p>
        </w:tc>
      </w:tr>
      <w:tr w14:paraId="7ECE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noWrap w:val="0"/>
            <w:vAlign w:val="center"/>
          </w:tcPr>
          <w:p w14:paraId="7040BC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16</w:t>
            </w:r>
          </w:p>
        </w:tc>
        <w:tc>
          <w:tcPr>
            <w:tcW w:w="3285" w:type="dxa"/>
            <w:noWrap w:val="0"/>
            <w:vAlign w:val="center"/>
          </w:tcPr>
          <w:p w14:paraId="548EEF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手动可调式移液器</w:t>
            </w:r>
          </w:p>
        </w:tc>
        <w:tc>
          <w:tcPr>
            <w:tcW w:w="4080" w:type="dxa"/>
            <w:noWrap w:val="0"/>
            <w:vAlign w:val="center"/>
          </w:tcPr>
          <w:p w14:paraId="5827A6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0.5-100UL、20-200UL、1000ul</w:t>
            </w:r>
          </w:p>
        </w:tc>
      </w:tr>
      <w:tr w14:paraId="4792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noWrap w:val="0"/>
            <w:vAlign w:val="center"/>
          </w:tcPr>
          <w:p w14:paraId="35ADB7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17</w:t>
            </w:r>
          </w:p>
        </w:tc>
        <w:tc>
          <w:tcPr>
            <w:tcW w:w="3285" w:type="dxa"/>
            <w:noWrap w:val="0"/>
            <w:vAlign w:val="center"/>
          </w:tcPr>
          <w:p w14:paraId="6103A1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仿宋" w:hAnsi="仿宋" w:eastAsia="仿宋" w:cs="仿宋"/>
                <w:i w:val="0"/>
                <w:iCs w:val="0"/>
                <w:color w:val="000000"/>
                <w:kern w:val="0"/>
                <w:sz w:val="22"/>
                <w:szCs w:val="22"/>
                <w:highlight w:val="none"/>
                <w:u w:val="none"/>
                <w:lang w:val="en-US" w:eastAsia="zh-CN" w:bidi="ar"/>
              </w:rPr>
            </w:pPr>
            <w:r>
              <w:rPr>
                <w:rFonts w:hint="default" w:ascii="仿宋" w:hAnsi="仿宋" w:eastAsia="仿宋" w:cs="仿宋"/>
                <w:i w:val="0"/>
                <w:iCs w:val="0"/>
                <w:color w:val="000000"/>
                <w:kern w:val="0"/>
                <w:sz w:val="22"/>
                <w:szCs w:val="22"/>
                <w:highlight w:val="none"/>
                <w:u w:val="none"/>
                <w:lang w:val="en-US" w:eastAsia="zh-CN" w:bidi="ar"/>
              </w:rPr>
              <w:t>样本杯</w:t>
            </w:r>
          </w:p>
        </w:tc>
        <w:tc>
          <w:tcPr>
            <w:tcW w:w="4080" w:type="dxa"/>
            <w:noWrap w:val="0"/>
            <w:vAlign w:val="center"/>
          </w:tcPr>
          <w:p w14:paraId="352350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仿宋" w:hAnsi="仿宋" w:eastAsia="仿宋" w:cs="仿宋"/>
                <w:i w:val="0"/>
                <w:iCs w:val="0"/>
                <w:color w:val="000000"/>
                <w:kern w:val="0"/>
                <w:sz w:val="22"/>
                <w:szCs w:val="22"/>
                <w:highlight w:val="none"/>
                <w:u w:val="none"/>
                <w:lang w:val="en-US" w:eastAsia="zh-CN" w:bidi="ar"/>
              </w:rPr>
            </w:pPr>
            <w:r>
              <w:rPr>
                <w:rFonts w:hint="default" w:ascii="仿宋" w:hAnsi="仿宋" w:eastAsia="仿宋" w:cs="仿宋"/>
                <w:i w:val="0"/>
                <w:iCs w:val="0"/>
                <w:color w:val="000000"/>
                <w:kern w:val="0"/>
                <w:sz w:val="22"/>
                <w:szCs w:val="22"/>
                <w:highlight w:val="none"/>
                <w:u w:val="none"/>
                <w:lang w:val="en-US" w:eastAsia="zh-CN" w:bidi="ar"/>
              </w:rPr>
              <w:t>16*38mm</w:t>
            </w:r>
          </w:p>
        </w:tc>
      </w:tr>
    </w:tbl>
    <w:p w14:paraId="2A097A6C">
      <w:pPr>
        <w:pStyle w:val="6"/>
        <w:jc w:val="left"/>
        <w:outlineLvl w:val="9"/>
        <w:rPr>
          <w:rFonts w:hint="eastAsia" w:ascii="仿宋" w:hAnsi="仿宋" w:eastAsia="仿宋" w:cs="仿宋"/>
          <w:color w:val="auto"/>
          <w:kern w:val="2"/>
          <w:sz w:val="24"/>
          <w:szCs w:val="24"/>
          <w:highlight w:val="none"/>
          <w:shd w:val="clear" w:color="auto" w:fill="auto"/>
          <w:lang w:val="en-US" w:eastAsia="zh-CN" w:bidi="ar-SA"/>
        </w:rPr>
      </w:pPr>
    </w:p>
    <w:p w14:paraId="411B4224">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样品要求</w:t>
      </w:r>
    </w:p>
    <w:p w14:paraId="7FE4F2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1.必须提供样品，以供评审专家现场评审。</w:t>
      </w:r>
    </w:p>
    <w:p w14:paraId="02A8BA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2.提交的样品不符合实际需求或存在原理错误则视为无效响应。</w:t>
      </w:r>
    </w:p>
    <w:p w14:paraId="6ED248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3.本项目投标人提供的样品，应与该投标人响应文件保持一致（具体参考《医疗器械说明书和标签管理规定》）。</w:t>
      </w:r>
    </w:p>
    <w:p w14:paraId="4ED169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p>
    <w:p w14:paraId="096AB5D6">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★3.4.商务要求</w:t>
      </w:r>
    </w:p>
    <w:p w14:paraId="0BE0BDF9">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1.交货期及地点</w:t>
      </w:r>
    </w:p>
    <w:p w14:paraId="70CAA7FA">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（1）交货期：每次配送时间必须严格按照采购人配送通知执行，中标人应于收到通知后2小时内响应。急救耗材的配送时间不应超过4小时，一般耗材原则上的配送时间不应超过2个工作日。</w:t>
      </w:r>
    </w:p>
    <w:p w14:paraId="44D85D24">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（2）交货地点：内江市第一人民医院指定地点。</w:t>
      </w:r>
    </w:p>
    <w:p w14:paraId="03EFCAB6">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2.付款方法和条件</w:t>
      </w:r>
    </w:p>
    <w:p w14:paraId="7F5BCE5F">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（1）结算方式：货款按实结算且由双方协商决定。</w:t>
      </w:r>
    </w:p>
    <w:p w14:paraId="789FA24F">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（2）成交价格包含成本、运输、包装、培训、配送、伴随服务、税费及其他附加费用。</w:t>
      </w:r>
    </w:p>
    <w:p w14:paraId="2CE3ED5A">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3.医用耗材质量保证</w:t>
      </w:r>
    </w:p>
    <w:p w14:paraId="4F997FE6">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（1）中标人须提供原厂生产的未曾使用过的、全新的合格的货品（含配套配件等），表面无划伤、无破损痕迹，且权属清楚，不得侵害他人的合法权利。</w:t>
      </w:r>
    </w:p>
    <w:p w14:paraId="0AD867BB">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0C174608">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（3）中标人提供货品的设计技术专利、外形专利等均应符合我国有关法律法规及行业标准，凡因以上问题与第三方发生的任何纠纷，由中标人承担全部责任，中标人还应负责赔偿采购人由此而遭受的全部损失。</w:t>
      </w:r>
    </w:p>
    <w:p w14:paraId="24E577FF">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（4）中标人保证其提供货品的安全可靠性。在正常使用下不应对使用者造成任何人身伤害，如因产品质量或标示不明确而对使用者造成损失的，由中标人承担相应责任。</w:t>
      </w:r>
    </w:p>
    <w:p w14:paraId="0816CAAA">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05BBF33F">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（6）中标人保证所供耗材有效期不低于1年，自通过最终验收之日起，确保采购人在使用耗材的过程中安全、有效。</w:t>
      </w:r>
    </w:p>
    <w:p w14:paraId="23B1F969">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4.验收</w:t>
      </w:r>
    </w:p>
    <w:p w14:paraId="3FB98C0A">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40F9E290">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6569A83E">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053A38E3">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（4）其他未尽事宜严格按照《财政部关于进一步加强政府采购需求和履约验收管理的指导意见》（财库〔2016〕205号）的要求进行。</w:t>
      </w:r>
    </w:p>
    <w:p w14:paraId="3E5674E5">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5.售后服务</w:t>
      </w:r>
    </w:p>
    <w:p w14:paraId="1968463B">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68B5969C">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（2）要求中标人指派专人负责与采购人联系售后服务事宜；在投标文件中列明售后联系人及联系电话。</w:t>
      </w:r>
    </w:p>
    <w:p w14:paraId="77AC260E">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1CD8BA2">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（4）耗材临近失效期，采购人提前三个月向中标人提出更换，中标人须在耗材失效前一个月更换完毕，不得以任何理由进行推诿。</w:t>
      </w:r>
    </w:p>
    <w:p w14:paraId="75637D68">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（5）中标人必须随货提供其具备医疗器械经营企业的有关合法有效的手续（包括但不限于）：</w:t>
      </w:r>
    </w:p>
    <w:p w14:paraId="01F55C4D">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1).产品所涉及逐级授权经销商的医疗器械生产（经营）许可证或生产（经营）企业备案表；</w:t>
      </w:r>
    </w:p>
    <w:p w14:paraId="165DEF5D">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2).医疗器械产品注册证或备案凭证；</w:t>
      </w:r>
    </w:p>
    <w:p w14:paraId="0E2B9C52">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3).医疗器械生产企业许可证；</w:t>
      </w:r>
    </w:p>
    <w:p w14:paraId="62213254">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4).经销商获得的委托授权书（逐级）；</w:t>
      </w:r>
    </w:p>
    <w:p w14:paraId="456CF27F">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5).产品所涉及逐级授权经销商的企业法人营业执照。</w:t>
      </w:r>
    </w:p>
    <w:p w14:paraId="4F82AC30">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6).采购人要求提供的相关资料。</w:t>
      </w:r>
    </w:p>
    <w:p w14:paraId="479F8C13">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324548C1">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 xml:space="preserve">6.包装和运输 </w:t>
      </w:r>
    </w:p>
    <w:p w14:paraId="2ECBFD5C">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 xml:space="preserve">（1）中标人须严格按照《商品包装政府采购需求标准(试行)》、《快递包装政府采购需 求标准(试行)》(财办库〔2020〕123 号)的要求进行产品及相关快递服务的包装。 </w:t>
      </w:r>
    </w:p>
    <w:p w14:paraId="7012BD0A">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3CD07BC0">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（3）本次采购的标的物需要运输，中标人在合同约定的时间内将标的物运输至合同约定地点。</w:t>
      </w:r>
    </w:p>
    <w:p w14:paraId="74B20C3F">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p>
    <w:p w14:paraId="352240BB">
      <w:pPr>
        <w:pStyle w:val="6"/>
        <w:keepNext w:val="0"/>
        <w:keepLines w:val="0"/>
        <w:pageBreakBefore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3.5.合同管理安排</w:t>
      </w:r>
    </w:p>
    <w:p w14:paraId="67A978DD">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b w:val="0"/>
          <w:bCs w:val="0"/>
          <w:color w:val="000000"/>
          <w:kern w:val="0"/>
          <w:sz w:val="24"/>
          <w:szCs w:val="24"/>
          <w:highlight w:val="none"/>
          <w:u w:val="none"/>
          <w:lang w:val="en-US" w:eastAsia="zh-CN" w:bidi="ar"/>
        </w:rPr>
        <w:t>1.</w:t>
      </w:r>
      <w:r>
        <w:rPr>
          <w:rFonts w:hint="eastAsia" w:ascii="仿宋" w:hAnsi="仿宋" w:eastAsia="仿宋" w:cs="仿宋"/>
          <w:color w:val="auto"/>
          <w:sz w:val="24"/>
          <w:szCs w:val="24"/>
          <w:highlight w:val="none"/>
          <w:shd w:val="clear" w:color="auto" w:fill="auto"/>
        </w:rPr>
        <w:t>合同履行期限：</w:t>
      </w:r>
      <w:r>
        <w:rPr>
          <w:rFonts w:hint="eastAsia" w:ascii="仿宋" w:hAnsi="仿宋" w:eastAsia="仿宋" w:cs="仿宋"/>
          <w:color w:val="auto"/>
          <w:sz w:val="24"/>
          <w:szCs w:val="24"/>
          <w:highlight w:val="none"/>
          <w:shd w:val="clear" w:color="auto" w:fill="auto"/>
          <w:lang w:val="en-US" w:eastAsia="zh-CN"/>
        </w:rPr>
        <w:t>1年</w:t>
      </w:r>
    </w:p>
    <w:p w14:paraId="60C8A09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合同支付约定：</w:t>
      </w:r>
      <w:r>
        <w:rPr>
          <w:rFonts w:hint="eastAsia" w:ascii="仿宋" w:hAnsi="仿宋" w:eastAsia="仿宋" w:cs="仿宋"/>
          <w:color w:val="auto"/>
          <w:sz w:val="24"/>
          <w:szCs w:val="24"/>
          <w:highlight w:val="none"/>
          <w:u w:val="none"/>
          <w:shd w:val="clear" w:color="auto" w:fill="auto"/>
          <w:lang w:val="en-US" w:eastAsia="zh-CN"/>
        </w:rPr>
        <w:t>双方协商确定</w:t>
      </w:r>
    </w:p>
    <w:p w14:paraId="6D105F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违约责任与解决争议的方法：</w:t>
      </w:r>
    </w:p>
    <w:p w14:paraId="5DF137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违约责任</w:t>
      </w:r>
    </w:p>
    <w:p w14:paraId="2A3B2F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逾期15日内不能提供</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所需医用耗材的，应向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每日支付该批次货款千分之三的违约金。</w:t>
      </w:r>
    </w:p>
    <w:p w14:paraId="49A4814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逾期15日及以上不能交付以上产品的，视同不能供货，须向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支付该批次货款的10%的违约金，同时</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可以单方面解除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w:t>
      </w:r>
    </w:p>
    <w:p w14:paraId="737782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rPr>
        <w:t>若因</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原因造成</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被监管部门通报三次及以上的或者</w:t>
      </w:r>
      <w:r>
        <w:rPr>
          <w:rFonts w:hint="eastAsia" w:ascii="仿宋" w:hAnsi="仿宋" w:eastAsia="仿宋" w:cs="仿宋"/>
          <w:color w:val="auto"/>
          <w:sz w:val="24"/>
          <w:szCs w:val="24"/>
          <w:highlight w:val="none"/>
          <w:shd w:val="clear" w:color="auto" w:fill="auto"/>
          <w:lang w:eastAsia="zh-CN"/>
        </w:rPr>
        <w:t>造成采购人违规采购</w:t>
      </w:r>
      <w:r>
        <w:rPr>
          <w:rFonts w:hint="eastAsia" w:ascii="仿宋" w:hAnsi="仿宋" w:eastAsia="仿宋" w:cs="仿宋"/>
          <w:color w:val="auto"/>
          <w:sz w:val="24"/>
          <w:szCs w:val="24"/>
          <w:highlight w:val="none"/>
          <w:shd w:val="clear" w:color="auto" w:fill="auto"/>
        </w:rPr>
        <w:t>，</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有权单方面解除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w:t>
      </w:r>
      <w:r>
        <w:rPr>
          <w:rFonts w:hint="eastAsia" w:ascii="仿宋" w:hAnsi="仿宋" w:eastAsia="仿宋" w:cs="仿宋"/>
          <w:color w:val="auto"/>
          <w:sz w:val="24"/>
          <w:szCs w:val="24"/>
          <w:highlight w:val="none"/>
          <w:shd w:val="clear" w:color="auto" w:fill="auto"/>
          <w:lang w:eastAsia="zh-CN"/>
        </w:rPr>
        <w:t>同时，采购人有权要求中标人支付该批货物价款</w:t>
      </w:r>
      <w:r>
        <w:rPr>
          <w:rFonts w:hint="eastAsia" w:ascii="仿宋" w:hAnsi="仿宋" w:eastAsia="仿宋" w:cs="仿宋"/>
          <w:color w:val="auto"/>
          <w:sz w:val="24"/>
          <w:szCs w:val="24"/>
          <w:highlight w:val="none"/>
          <w:shd w:val="clear" w:color="auto" w:fill="auto"/>
          <w:lang w:val="en-US" w:eastAsia="zh-CN"/>
        </w:rPr>
        <w:t>20%</w:t>
      </w:r>
      <w:r>
        <w:rPr>
          <w:rFonts w:hint="eastAsia" w:ascii="仿宋" w:hAnsi="仿宋" w:eastAsia="仿宋" w:cs="仿宋"/>
          <w:color w:val="auto"/>
          <w:sz w:val="24"/>
          <w:szCs w:val="24"/>
          <w:highlight w:val="none"/>
          <w:shd w:val="clear" w:color="auto" w:fill="auto"/>
          <w:lang w:eastAsia="zh-CN"/>
        </w:rPr>
        <w:t>的违约金</w:t>
      </w:r>
      <w:r>
        <w:rPr>
          <w:rFonts w:hint="eastAsia" w:ascii="仿宋" w:hAnsi="仿宋" w:eastAsia="仿宋" w:cs="仿宋"/>
          <w:color w:val="auto"/>
          <w:sz w:val="24"/>
          <w:szCs w:val="24"/>
          <w:highlight w:val="none"/>
          <w:shd w:val="clear" w:color="auto" w:fill="auto"/>
        </w:rPr>
        <w:t>。</w:t>
      </w:r>
    </w:p>
    <w:p w14:paraId="77D8DC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销售的产品若发生严重医疗不良事件或被国家法定检测机构检测为不合格产品，视为</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违约导致不能实现</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目的，</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有权单方面解除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，并要求</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限期收回不合格产品，并要求</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需承担合同价款20%的违约金，违约金不足以</w:t>
      </w:r>
      <w:r>
        <w:rPr>
          <w:rFonts w:hint="eastAsia" w:ascii="仿宋" w:hAnsi="仿宋" w:eastAsia="仿宋" w:cs="仿宋"/>
          <w:color w:val="auto"/>
          <w:sz w:val="24"/>
          <w:szCs w:val="24"/>
          <w:highlight w:val="none"/>
          <w:shd w:val="clear" w:color="auto" w:fill="auto"/>
          <w:lang w:val="en-US" w:eastAsia="zh-Hans"/>
        </w:rPr>
        <w:t>弥补</w:t>
      </w:r>
      <w:r>
        <w:rPr>
          <w:rFonts w:hint="eastAsia" w:ascii="仿宋" w:hAnsi="仿宋" w:eastAsia="仿宋" w:cs="仿宋"/>
          <w:color w:val="auto"/>
          <w:sz w:val="24"/>
          <w:szCs w:val="24"/>
          <w:highlight w:val="none"/>
          <w:shd w:val="clear" w:color="auto" w:fill="auto"/>
          <w:lang w:val="en-US" w:eastAsia="zh-CN"/>
        </w:rPr>
        <w:t>采购人</w:t>
      </w:r>
      <w:r>
        <w:rPr>
          <w:rFonts w:hint="eastAsia" w:ascii="仿宋" w:hAnsi="仿宋" w:eastAsia="仿宋" w:cs="仿宋"/>
          <w:color w:val="auto"/>
          <w:sz w:val="24"/>
          <w:szCs w:val="24"/>
          <w:highlight w:val="none"/>
          <w:shd w:val="clear" w:color="auto" w:fill="auto"/>
        </w:rPr>
        <w:t>损失的，</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还应当承</w:t>
      </w:r>
      <w:r>
        <w:rPr>
          <w:rFonts w:hint="eastAsia" w:ascii="仿宋" w:hAnsi="仿宋" w:eastAsia="仿宋" w:cs="仿宋"/>
          <w:color w:val="auto"/>
          <w:sz w:val="24"/>
          <w:szCs w:val="24"/>
          <w:highlight w:val="none"/>
          <w:shd w:val="clear" w:color="auto" w:fill="auto"/>
          <w:lang w:val="en-US" w:eastAsia="zh-Hans"/>
        </w:rPr>
        <w:t>补足</w:t>
      </w:r>
      <w:r>
        <w:rPr>
          <w:rFonts w:hint="eastAsia" w:ascii="仿宋" w:hAnsi="仿宋" w:eastAsia="仿宋" w:cs="仿宋"/>
          <w:color w:val="auto"/>
          <w:sz w:val="24"/>
          <w:szCs w:val="24"/>
          <w:highlight w:val="none"/>
          <w:shd w:val="clear" w:color="auto" w:fill="auto"/>
        </w:rPr>
        <w:t>。</w:t>
      </w:r>
    </w:p>
    <w:p w14:paraId="4CB0B6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即使产品已经验收入库（或安装调试完毕）后，</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才发现产品为不合格产品的，也视为</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违约，</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应当承担本条约定的责任。同时</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有权退回库存产品。</w:t>
      </w:r>
    </w:p>
    <w:p w14:paraId="6D6BF0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rPr>
        <w:t>若根据法律规定或本协议约定产生</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退、换货或拒绝收货情形，由</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承担退换货产生的各项税、费或其他支出。</w:t>
      </w:r>
    </w:p>
    <w:p w14:paraId="05657E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不能保证及时供货，除应当向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承担违约责任外，</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仍有权单方面解除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w:t>
      </w:r>
    </w:p>
    <w:p w14:paraId="53EA9A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7</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rPr>
        <w:t>因</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提供的产品不合格造成</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或第三人人身损害或财产损失的，由</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承担赔偿责任。</w:t>
      </w:r>
    </w:p>
    <w:p w14:paraId="1B15E6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8</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若因中标人原因造成采购人挂网执行存在问题以及线上支付不及时、造成采购人未挂网采购的或者存在其他问题的，中标人应承担违约责任，且</w:t>
      </w:r>
      <w:r>
        <w:rPr>
          <w:rFonts w:hint="eastAsia" w:ascii="仿宋" w:hAnsi="仿宋" w:eastAsia="仿宋" w:cs="仿宋"/>
          <w:color w:val="auto"/>
          <w:sz w:val="24"/>
          <w:szCs w:val="24"/>
          <w:highlight w:val="none"/>
          <w:shd w:val="clear" w:color="auto" w:fill="auto"/>
          <w:lang w:eastAsia="zh-CN"/>
        </w:rPr>
        <w:t>采购人有权要求中标人支付该批货物价款</w:t>
      </w:r>
      <w:r>
        <w:rPr>
          <w:rFonts w:hint="eastAsia" w:ascii="仿宋" w:hAnsi="仿宋" w:eastAsia="仿宋" w:cs="仿宋"/>
          <w:color w:val="auto"/>
          <w:sz w:val="24"/>
          <w:szCs w:val="24"/>
          <w:highlight w:val="none"/>
          <w:shd w:val="clear" w:color="auto" w:fill="auto"/>
          <w:lang w:val="en-US" w:eastAsia="zh-CN"/>
        </w:rPr>
        <w:t>20%</w:t>
      </w:r>
      <w:r>
        <w:rPr>
          <w:rFonts w:hint="eastAsia" w:ascii="仿宋" w:hAnsi="仿宋" w:eastAsia="仿宋" w:cs="仿宋"/>
          <w:color w:val="auto"/>
          <w:sz w:val="24"/>
          <w:szCs w:val="24"/>
          <w:highlight w:val="none"/>
          <w:shd w:val="clear" w:color="auto" w:fill="auto"/>
          <w:lang w:eastAsia="zh-CN"/>
        </w:rPr>
        <w:t>的违约金，采购人有权单方面解除合同。</w:t>
      </w:r>
    </w:p>
    <w:p w14:paraId="5C2A62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解决合同纠纷的方式</w:t>
      </w:r>
    </w:p>
    <w:p w14:paraId="56052E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auto"/>
          <w:sz w:val="24"/>
          <w:szCs w:val="24"/>
          <w:highlight w:val="none"/>
          <w:shd w:val="clear" w:color="auto" w:fill="auto"/>
        </w:rPr>
        <w:t>因货物的质量问题发生的争议，由法定质量鉴定机构或其认可的质量鉴定机构进行质量鉴定。货物符合标准的，鉴定费由</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承担；货物不符合质量标准的，鉴定费由</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承担。</w:t>
      </w:r>
    </w:p>
    <w:p w14:paraId="6369DB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auto"/>
          <w:sz w:val="24"/>
          <w:szCs w:val="24"/>
          <w:highlight w:val="none"/>
          <w:shd w:val="clear" w:color="auto" w:fill="auto"/>
        </w:rPr>
        <w:t>合同履行期间，若双方发生争议，可协商或由有关部门调解解决，协商或调解不成的，可向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所在地人民法院依法提起诉讼。</w:t>
      </w:r>
    </w:p>
    <w:p w14:paraId="3450EE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p>
    <w:p w14:paraId="5BE3F4A8">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bCs/>
          <w:color w:val="auto"/>
          <w:sz w:val="28"/>
          <w:szCs w:val="28"/>
          <w:highlight w:val="none"/>
          <w:shd w:val="clear" w:color="auto" w:fill="auto"/>
          <w:lang w:val="en-US" w:eastAsia="zh-CN"/>
        </w:rPr>
      </w:pPr>
      <w:r>
        <w:rPr>
          <w:rFonts w:hint="eastAsia" w:ascii="仿宋" w:hAnsi="仿宋" w:eastAsia="仿宋" w:cs="仿宋"/>
          <w:b/>
          <w:bCs/>
          <w:color w:val="auto"/>
          <w:sz w:val="28"/>
          <w:szCs w:val="28"/>
          <w:highlight w:val="none"/>
          <w:shd w:val="clear" w:color="auto" w:fill="auto"/>
          <w:lang w:val="en-US" w:eastAsia="zh-CN"/>
        </w:rPr>
        <w:t>3.6</w:t>
      </w:r>
      <w:r>
        <w:rPr>
          <w:rFonts w:hint="eastAsia" w:ascii="仿宋" w:hAnsi="仿宋" w:eastAsia="仿宋" w:cs="仿宋"/>
          <w:b/>
          <w:bCs/>
          <w:color w:val="auto"/>
          <w:kern w:val="2"/>
          <w:sz w:val="28"/>
          <w:szCs w:val="28"/>
          <w:highlight w:val="none"/>
          <w:shd w:val="clear" w:color="auto" w:fill="auto"/>
          <w:lang w:val="en-US" w:eastAsia="zh-CN" w:bidi="ar-SA"/>
        </w:rPr>
        <w:t>履约验收方案</w:t>
      </w:r>
    </w:p>
    <w:p w14:paraId="2322DF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1.</w:t>
      </w:r>
      <w:r>
        <w:rPr>
          <w:rFonts w:hint="eastAsia" w:ascii="仿宋" w:hAnsi="仿宋" w:eastAsia="仿宋" w:cs="仿宋"/>
          <w:color w:val="auto"/>
          <w:sz w:val="24"/>
          <w:highlight w:val="none"/>
          <w:u w:val="none"/>
          <w:shd w:val="clear" w:color="auto" w:fill="auto"/>
        </w:rPr>
        <w:t>履约验收程序</w:t>
      </w:r>
      <w:r>
        <w:rPr>
          <w:rFonts w:hint="eastAsia" w:ascii="仿宋" w:hAnsi="仿宋" w:eastAsia="仿宋" w:cs="仿宋"/>
          <w:color w:val="auto"/>
          <w:sz w:val="24"/>
          <w:highlight w:val="none"/>
          <w:u w:val="none"/>
          <w:shd w:val="clear" w:color="auto" w:fill="auto"/>
          <w:lang w:eastAsia="zh-CN"/>
        </w:rPr>
        <w:t>：</w:t>
      </w:r>
      <w:r>
        <w:rPr>
          <w:rFonts w:hint="eastAsia" w:ascii="仿宋" w:hAnsi="仿宋" w:eastAsia="仿宋" w:cs="仿宋"/>
          <w:color w:val="auto"/>
          <w:sz w:val="24"/>
          <w:highlight w:val="none"/>
          <w:u w:val="none"/>
          <w:shd w:val="clear" w:color="auto" w:fill="auto"/>
          <w:lang w:val="en-US" w:eastAsia="zh-CN"/>
        </w:rPr>
        <w:t>分批次验收。</w:t>
      </w:r>
    </w:p>
    <w:p w14:paraId="54DF51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2.</w:t>
      </w:r>
      <w:r>
        <w:rPr>
          <w:rFonts w:hint="eastAsia" w:ascii="仿宋" w:hAnsi="仿宋" w:eastAsia="仿宋" w:cs="仿宋"/>
          <w:color w:val="auto"/>
          <w:sz w:val="24"/>
          <w:highlight w:val="none"/>
          <w:u w:val="none"/>
          <w:shd w:val="clear" w:color="auto" w:fill="auto"/>
        </w:rPr>
        <w:t>履约验收时间：</w:t>
      </w:r>
      <w:r>
        <w:rPr>
          <w:rFonts w:hint="eastAsia" w:ascii="仿宋" w:hAnsi="仿宋" w:eastAsia="仿宋" w:cs="仿宋"/>
          <w:color w:val="auto"/>
          <w:sz w:val="24"/>
          <w:highlight w:val="none"/>
          <w:u w:val="none"/>
          <w:shd w:val="clear" w:color="auto" w:fill="auto"/>
          <w:lang w:val="en-US" w:eastAsia="zh-CN"/>
        </w:rPr>
        <w:t>合同期限内，根据采购人要求分批次送货，完成送货、验收入库视为验收完成。</w:t>
      </w:r>
    </w:p>
    <w:p w14:paraId="7E5894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3.</w:t>
      </w:r>
      <w:r>
        <w:rPr>
          <w:rFonts w:hint="eastAsia" w:ascii="仿宋" w:hAnsi="仿宋" w:eastAsia="仿宋" w:cs="仿宋"/>
          <w:color w:val="auto"/>
          <w:sz w:val="24"/>
          <w:highlight w:val="none"/>
          <w:u w:val="none"/>
          <w:shd w:val="clear" w:color="auto" w:fill="auto"/>
        </w:rPr>
        <w:t>技术履约验收内容：</w:t>
      </w:r>
      <w:r>
        <w:rPr>
          <w:rFonts w:hint="eastAsia" w:ascii="仿宋" w:hAnsi="仿宋" w:eastAsia="仿宋" w:cs="仿宋"/>
          <w:color w:val="auto"/>
          <w:sz w:val="24"/>
          <w:highlight w:val="none"/>
          <w:u w:val="none"/>
          <w:shd w:val="clear" w:color="auto" w:fill="auto"/>
          <w:lang w:val="en-US" w:eastAsia="zh-CN"/>
        </w:rPr>
        <w:t>采购人按照本项目技术要求进行验收。</w:t>
      </w:r>
    </w:p>
    <w:p w14:paraId="3AB5790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4.</w:t>
      </w:r>
      <w:r>
        <w:rPr>
          <w:rFonts w:hint="eastAsia" w:ascii="仿宋" w:hAnsi="仿宋" w:eastAsia="仿宋" w:cs="仿宋"/>
          <w:color w:val="auto"/>
          <w:sz w:val="24"/>
          <w:highlight w:val="none"/>
          <w:u w:val="none"/>
          <w:shd w:val="clear" w:color="auto" w:fill="auto"/>
        </w:rPr>
        <w:t>商务履约验收内容：</w:t>
      </w:r>
      <w:r>
        <w:rPr>
          <w:rFonts w:hint="eastAsia" w:ascii="仿宋" w:hAnsi="仿宋" w:eastAsia="仿宋" w:cs="仿宋"/>
          <w:color w:val="auto"/>
          <w:sz w:val="24"/>
          <w:highlight w:val="none"/>
          <w:u w:val="none"/>
          <w:shd w:val="clear" w:color="auto" w:fill="auto"/>
          <w:lang w:val="en-US" w:eastAsia="zh-CN"/>
        </w:rPr>
        <w:t>采购人按照本项目商务要求进行验收。</w:t>
      </w:r>
    </w:p>
    <w:p w14:paraId="4B26F91A">
      <w:pPr>
        <w:ind w:firstLine="480" w:firstLineChars="200"/>
      </w:pPr>
      <w:r>
        <w:rPr>
          <w:rFonts w:hint="eastAsia" w:ascii="仿宋" w:hAnsi="仿宋" w:eastAsia="仿宋" w:cs="仿宋"/>
          <w:color w:val="auto"/>
          <w:sz w:val="24"/>
          <w:highlight w:val="none"/>
          <w:u w:val="none"/>
          <w:shd w:val="clear" w:color="auto" w:fill="auto"/>
          <w:lang w:val="en-US" w:eastAsia="zh-CN"/>
        </w:rPr>
        <w:t>5.</w:t>
      </w:r>
      <w:r>
        <w:rPr>
          <w:rFonts w:hint="eastAsia" w:ascii="仿宋" w:hAnsi="仿宋" w:eastAsia="仿宋" w:cs="仿宋"/>
          <w:color w:val="auto"/>
          <w:sz w:val="24"/>
          <w:highlight w:val="none"/>
          <w:u w:val="none"/>
          <w:shd w:val="clear" w:color="auto" w:fill="auto"/>
        </w:rPr>
        <w:t>履约收标准：</w:t>
      </w:r>
      <w:r>
        <w:rPr>
          <w:rFonts w:hint="eastAsia" w:ascii="仿宋" w:hAnsi="仿宋" w:eastAsia="仿宋" w:cs="仿宋"/>
          <w:color w:val="auto"/>
          <w:sz w:val="24"/>
          <w:highlight w:val="none"/>
          <w:u w:val="none"/>
          <w:shd w:val="clear" w:color="auto" w:fill="auto"/>
          <w:lang w:val="en-US" w:eastAsia="zh-CN"/>
        </w:rPr>
        <w:t>采购人按照本项目合同要求进行验收</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388A64C7"/>
    <w:rsid w:val="40E93FFC"/>
    <w:rsid w:val="67BA4749"/>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3877</Words>
  <Characters>4217</Characters>
  <Lines>0</Lines>
  <Paragraphs>0</Paragraphs>
  <TotalTime>0</TotalTime>
  <ScaleCrop>false</ScaleCrop>
  <LinksUpToDate>false</LinksUpToDate>
  <CharactersWithSpaces>4223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2025-03-17T07:25:48Z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CB70024FFFEB49B19617377930EA0112_13</vt:lpwstr>
  </property>
</Properties>
</file>