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05C30">
      <w:pPr>
        <w:pStyle w:val="5"/>
        <w:jc w:val="center"/>
        <w:outlineLvl w:val="0"/>
        <w:rPr>
          <w:rFonts w:hint="eastAsia" w:ascii="仿宋" w:hAnsi="仿宋" w:eastAsia="仿宋" w:cs="仿宋"/>
          <w:highlight w:val="none"/>
        </w:rPr>
      </w:pPr>
      <w:r>
        <w:rPr>
          <w:rFonts w:hint="eastAsia" w:ascii="仿宋" w:hAnsi="仿宋" w:eastAsia="仿宋" w:cs="仿宋"/>
          <w:b/>
          <w:sz w:val="36"/>
          <w:highlight w:val="none"/>
        </w:rPr>
        <w:t>技术、服务及其他要求</w:t>
      </w:r>
    </w:p>
    <w:p w14:paraId="5B6490AC">
      <w:pPr>
        <w:pStyle w:val="5"/>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7C6FE89F">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3"/>
        <w:tblW w:w="4655"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4"/>
        <w:gridCol w:w="1747"/>
        <w:gridCol w:w="1489"/>
        <w:gridCol w:w="865"/>
        <w:gridCol w:w="1575"/>
        <w:gridCol w:w="1564"/>
      </w:tblGrid>
      <w:tr w14:paraId="607735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6" w:hRule="atLeast"/>
          <w:jc w:val="center"/>
        </w:trPr>
        <w:tc>
          <w:tcPr>
            <w:tcW w:w="437" w:type="pct"/>
            <w:vAlign w:val="center"/>
          </w:tcPr>
          <w:p w14:paraId="7AF4AE26">
            <w:pPr>
              <w:pStyle w:val="5"/>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00" w:type="pct"/>
            <w:vAlign w:val="center"/>
          </w:tcPr>
          <w:p w14:paraId="48570C60">
            <w:pPr>
              <w:pStyle w:val="5"/>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标的名称</w:t>
            </w:r>
          </w:p>
        </w:tc>
        <w:tc>
          <w:tcPr>
            <w:tcW w:w="938" w:type="pct"/>
            <w:vAlign w:val="center"/>
          </w:tcPr>
          <w:p w14:paraId="5C284F2D">
            <w:pPr>
              <w:pStyle w:val="5"/>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★单价最高限价（元）</w:t>
            </w:r>
          </w:p>
        </w:tc>
        <w:tc>
          <w:tcPr>
            <w:tcW w:w="545" w:type="pct"/>
            <w:vAlign w:val="center"/>
          </w:tcPr>
          <w:p w14:paraId="2EB2F233">
            <w:pPr>
              <w:pStyle w:val="5"/>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预计</w:t>
            </w:r>
          </w:p>
          <w:p w14:paraId="7D97406B">
            <w:pPr>
              <w:pStyle w:val="5"/>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数量</w:t>
            </w:r>
          </w:p>
        </w:tc>
        <w:tc>
          <w:tcPr>
            <w:tcW w:w="992" w:type="pct"/>
            <w:vAlign w:val="center"/>
          </w:tcPr>
          <w:p w14:paraId="5C287453">
            <w:pPr>
              <w:pStyle w:val="5"/>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★计量单位</w:t>
            </w:r>
          </w:p>
        </w:tc>
        <w:tc>
          <w:tcPr>
            <w:tcW w:w="985" w:type="pct"/>
            <w:vAlign w:val="center"/>
          </w:tcPr>
          <w:p w14:paraId="641CA687">
            <w:pPr>
              <w:pStyle w:val="5"/>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预算金额/最高限价（元）</w:t>
            </w:r>
          </w:p>
        </w:tc>
      </w:tr>
      <w:tr w14:paraId="38F75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1C3B851F">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00" w:type="pct"/>
            <w:vAlign w:val="center"/>
          </w:tcPr>
          <w:p w14:paraId="48E9F4D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扫描电镜</w:t>
            </w:r>
          </w:p>
        </w:tc>
        <w:tc>
          <w:tcPr>
            <w:tcW w:w="938" w:type="pct"/>
            <w:vAlign w:val="center"/>
          </w:tcPr>
          <w:p w14:paraId="3DB2BE5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700</w:t>
            </w:r>
          </w:p>
        </w:tc>
        <w:tc>
          <w:tcPr>
            <w:tcW w:w="545" w:type="pct"/>
            <w:vAlign w:val="center"/>
          </w:tcPr>
          <w:p w14:paraId="044DFE7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w:t>
            </w:r>
          </w:p>
        </w:tc>
        <w:tc>
          <w:tcPr>
            <w:tcW w:w="992" w:type="pct"/>
            <w:vAlign w:val="center"/>
          </w:tcPr>
          <w:p w14:paraId="46CF8636">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样</w:t>
            </w:r>
          </w:p>
        </w:tc>
        <w:tc>
          <w:tcPr>
            <w:tcW w:w="985" w:type="pct"/>
            <w:vAlign w:val="center"/>
          </w:tcPr>
          <w:p w14:paraId="2CD2C9E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14000</w:t>
            </w:r>
          </w:p>
        </w:tc>
      </w:tr>
      <w:tr w14:paraId="6AE91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7679CF17">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00" w:type="pct"/>
            <w:vAlign w:val="center"/>
          </w:tcPr>
          <w:p w14:paraId="70B206F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透射电镜</w:t>
            </w:r>
          </w:p>
        </w:tc>
        <w:tc>
          <w:tcPr>
            <w:tcW w:w="938" w:type="pct"/>
            <w:vAlign w:val="center"/>
          </w:tcPr>
          <w:p w14:paraId="1CE0E10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700</w:t>
            </w:r>
          </w:p>
        </w:tc>
        <w:tc>
          <w:tcPr>
            <w:tcW w:w="545" w:type="pct"/>
            <w:vAlign w:val="center"/>
          </w:tcPr>
          <w:p w14:paraId="7E34863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w:t>
            </w:r>
          </w:p>
        </w:tc>
        <w:tc>
          <w:tcPr>
            <w:tcW w:w="992" w:type="pct"/>
            <w:vAlign w:val="center"/>
          </w:tcPr>
          <w:p w14:paraId="2E024F93">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color w:val="auto"/>
                <w:kern w:val="0"/>
                <w:sz w:val="24"/>
                <w:szCs w:val="24"/>
                <w:lang w:bidi="ar"/>
              </w:rPr>
              <w:t>样</w:t>
            </w:r>
          </w:p>
        </w:tc>
        <w:tc>
          <w:tcPr>
            <w:tcW w:w="985" w:type="pct"/>
            <w:vAlign w:val="center"/>
          </w:tcPr>
          <w:p w14:paraId="5CA9B41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14000</w:t>
            </w:r>
          </w:p>
        </w:tc>
      </w:tr>
      <w:tr w14:paraId="2913A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688E879F">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00" w:type="pct"/>
            <w:vAlign w:val="center"/>
          </w:tcPr>
          <w:p w14:paraId="2A8E3DA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水迷宫测试</w:t>
            </w:r>
          </w:p>
        </w:tc>
        <w:tc>
          <w:tcPr>
            <w:tcW w:w="938" w:type="pct"/>
            <w:vAlign w:val="center"/>
          </w:tcPr>
          <w:p w14:paraId="2B3291C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700</w:t>
            </w:r>
          </w:p>
        </w:tc>
        <w:tc>
          <w:tcPr>
            <w:tcW w:w="545" w:type="pct"/>
            <w:vAlign w:val="center"/>
          </w:tcPr>
          <w:p w14:paraId="3281D9D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w:t>
            </w:r>
          </w:p>
        </w:tc>
        <w:tc>
          <w:tcPr>
            <w:tcW w:w="992" w:type="pct"/>
            <w:vAlign w:val="center"/>
          </w:tcPr>
          <w:p w14:paraId="6A01BECD">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次</w:t>
            </w:r>
          </w:p>
        </w:tc>
        <w:tc>
          <w:tcPr>
            <w:tcW w:w="985" w:type="pct"/>
            <w:vAlign w:val="center"/>
          </w:tcPr>
          <w:p w14:paraId="7DED8BD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7000</w:t>
            </w:r>
          </w:p>
        </w:tc>
      </w:tr>
      <w:tr w14:paraId="3EAEE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0808E1A7">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100" w:type="pct"/>
            <w:vAlign w:val="center"/>
          </w:tcPr>
          <w:p w14:paraId="6E0CAB0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Y迷宫测试</w:t>
            </w:r>
          </w:p>
        </w:tc>
        <w:tc>
          <w:tcPr>
            <w:tcW w:w="938" w:type="pct"/>
            <w:vAlign w:val="center"/>
          </w:tcPr>
          <w:p w14:paraId="1739D4F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700</w:t>
            </w:r>
          </w:p>
        </w:tc>
        <w:tc>
          <w:tcPr>
            <w:tcW w:w="545" w:type="pct"/>
            <w:vAlign w:val="center"/>
          </w:tcPr>
          <w:p w14:paraId="1459716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w:t>
            </w:r>
          </w:p>
        </w:tc>
        <w:tc>
          <w:tcPr>
            <w:tcW w:w="992" w:type="pct"/>
            <w:vAlign w:val="center"/>
          </w:tcPr>
          <w:p w14:paraId="63EE86CF">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次</w:t>
            </w:r>
          </w:p>
        </w:tc>
        <w:tc>
          <w:tcPr>
            <w:tcW w:w="985" w:type="pct"/>
            <w:vAlign w:val="center"/>
          </w:tcPr>
          <w:p w14:paraId="3B62E94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7000</w:t>
            </w:r>
          </w:p>
        </w:tc>
      </w:tr>
      <w:tr w14:paraId="5B536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7CEB8281">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00" w:type="pct"/>
            <w:vAlign w:val="center"/>
          </w:tcPr>
          <w:p w14:paraId="6F1AA593">
            <w:pPr>
              <w:keepNext w:val="0"/>
              <w:keepLines w:val="0"/>
              <w:widowControl/>
              <w:suppressLineNumbers w:val="0"/>
              <w:spacing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免疫荧光</w:t>
            </w:r>
          </w:p>
          <w:p w14:paraId="36EB67A9">
            <w:pPr>
              <w:keepNext w:val="0"/>
              <w:keepLines w:val="0"/>
              <w:widowControl/>
              <w:suppressLineNumbers w:val="0"/>
              <w:spacing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（四标）</w:t>
            </w:r>
          </w:p>
        </w:tc>
        <w:tc>
          <w:tcPr>
            <w:tcW w:w="938" w:type="pct"/>
            <w:vAlign w:val="center"/>
          </w:tcPr>
          <w:p w14:paraId="34D59CA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300</w:t>
            </w:r>
          </w:p>
        </w:tc>
        <w:tc>
          <w:tcPr>
            <w:tcW w:w="545" w:type="pct"/>
            <w:vAlign w:val="center"/>
          </w:tcPr>
          <w:p w14:paraId="00ECBE8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w:t>
            </w:r>
          </w:p>
        </w:tc>
        <w:tc>
          <w:tcPr>
            <w:tcW w:w="992" w:type="pct"/>
            <w:vAlign w:val="center"/>
          </w:tcPr>
          <w:p w14:paraId="51855D29">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张</w:t>
            </w:r>
          </w:p>
        </w:tc>
        <w:tc>
          <w:tcPr>
            <w:tcW w:w="985" w:type="pct"/>
            <w:vAlign w:val="center"/>
          </w:tcPr>
          <w:p w14:paraId="720DA8F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6000</w:t>
            </w:r>
          </w:p>
        </w:tc>
      </w:tr>
      <w:tr w14:paraId="29C13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5ABC897B">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00" w:type="pct"/>
            <w:vAlign w:val="center"/>
          </w:tcPr>
          <w:p w14:paraId="28A25753">
            <w:pPr>
              <w:keepNext w:val="0"/>
              <w:keepLines w:val="0"/>
              <w:widowControl/>
              <w:suppressLineNumbers w:val="0"/>
              <w:spacing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免疫荧光</w:t>
            </w:r>
          </w:p>
          <w:p w14:paraId="6056C081">
            <w:pPr>
              <w:keepNext w:val="0"/>
              <w:keepLines w:val="0"/>
              <w:widowControl/>
              <w:suppressLineNumbers w:val="0"/>
              <w:spacing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（五标）</w:t>
            </w:r>
          </w:p>
        </w:tc>
        <w:tc>
          <w:tcPr>
            <w:tcW w:w="938" w:type="pct"/>
            <w:vAlign w:val="center"/>
          </w:tcPr>
          <w:p w14:paraId="2B6A4BC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1200</w:t>
            </w:r>
          </w:p>
        </w:tc>
        <w:tc>
          <w:tcPr>
            <w:tcW w:w="545" w:type="pct"/>
            <w:vAlign w:val="center"/>
          </w:tcPr>
          <w:p w14:paraId="049D7D7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25</w:t>
            </w:r>
          </w:p>
        </w:tc>
        <w:tc>
          <w:tcPr>
            <w:tcW w:w="992" w:type="pct"/>
            <w:vAlign w:val="center"/>
          </w:tcPr>
          <w:p w14:paraId="19323C18">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张</w:t>
            </w:r>
          </w:p>
        </w:tc>
        <w:tc>
          <w:tcPr>
            <w:tcW w:w="985" w:type="pct"/>
            <w:vAlign w:val="center"/>
          </w:tcPr>
          <w:p w14:paraId="2721940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30000</w:t>
            </w:r>
          </w:p>
        </w:tc>
      </w:tr>
      <w:tr w14:paraId="568C8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1B8AB994">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00" w:type="pct"/>
            <w:vAlign w:val="center"/>
          </w:tcPr>
          <w:p w14:paraId="0D86E577">
            <w:pPr>
              <w:keepNext w:val="0"/>
              <w:keepLines w:val="0"/>
              <w:widowControl/>
              <w:suppressLineNumbers w:val="0"/>
              <w:spacing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切片全息扫描（四标）</w:t>
            </w:r>
          </w:p>
        </w:tc>
        <w:tc>
          <w:tcPr>
            <w:tcW w:w="938" w:type="pct"/>
            <w:vAlign w:val="center"/>
          </w:tcPr>
          <w:p w14:paraId="026840C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300</w:t>
            </w:r>
          </w:p>
        </w:tc>
        <w:tc>
          <w:tcPr>
            <w:tcW w:w="545" w:type="pct"/>
            <w:vAlign w:val="center"/>
          </w:tcPr>
          <w:p w14:paraId="121D0DD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w:t>
            </w:r>
          </w:p>
        </w:tc>
        <w:tc>
          <w:tcPr>
            <w:tcW w:w="992" w:type="pct"/>
            <w:vAlign w:val="center"/>
          </w:tcPr>
          <w:p w14:paraId="2854194B">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张</w:t>
            </w:r>
          </w:p>
        </w:tc>
        <w:tc>
          <w:tcPr>
            <w:tcW w:w="985" w:type="pct"/>
            <w:vAlign w:val="center"/>
          </w:tcPr>
          <w:p w14:paraId="4BF00A6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6000</w:t>
            </w:r>
          </w:p>
        </w:tc>
      </w:tr>
      <w:tr w14:paraId="1802F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488D088B">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00" w:type="pct"/>
            <w:vAlign w:val="center"/>
          </w:tcPr>
          <w:p w14:paraId="40AFFFE8">
            <w:pPr>
              <w:keepNext w:val="0"/>
              <w:keepLines w:val="0"/>
              <w:widowControl/>
              <w:suppressLineNumbers w:val="0"/>
              <w:spacing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切片全息扫描（五标）</w:t>
            </w:r>
          </w:p>
        </w:tc>
        <w:tc>
          <w:tcPr>
            <w:tcW w:w="938" w:type="pct"/>
            <w:vAlign w:val="center"/>
          </w:tcPr>
          <w:p w14:paraId="232E0E7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1200</w:t>
            </w:r>
          </w:p>
        </w:tc>
        <w:tc>
          <w:tcPr>
            <w:tcW w:w="545" w:type="pct"/>
            <w:vAlign w:val="center"/>
          </w:tcPr>
          <w:p w14:paraId="1626FB0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25</w:t>
            </w:r>
          </w:p>
        </w:tc>
        <w:tc>
          <w:tcPr>
            <w:tcW w:w="992" w:type="pct"/>
            <w:vAlign w:val="center"/>
          </w:tcPr>
          <w:p w14:paraId="406629D9">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张</w:t>
            </w:r>
          </w:p>
        </w:tc>
        <w:tc>
          <w:tcPr>
            <w:tcW w:w="985" w:type="pct"/>
            <w:vAlign w:val="center"/>
          </w:tcPr>
          <w:p w14:paraId="53DC04E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30000</w:t>
            </w:r>
          </w:p>
        </w:tc>
      </w:tr>
      <w:tr w14:paraId="17F27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585E4FE0">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00" w:type="pct"/>
            <w:vAlign w:val="center"/>
          </w:tcPr>
          <w:p w14:paraId="6C4CBB0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PCR检测</w:t>
            </w:r>
          </w:p>
        </w:tc>
        <w:tc>
          <w:tcPr>
            <w:tcW w:w="938" w:type="pct"/>
            <w:vAlign w:val="center"/>
          </w:tcPr>
          <w:p w14:paraId="20CC596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100</w:t>
            </w:r>
          </w:p>
        </w:tc>
        <w:tc>
          <w:tcPr>
            <w:tcW w:w="545" w:type="pct"/>
            <w:vAlign w:val="center"/>
          </w:tcPr>
          <w:p w14:paraId="770AA50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w:t>
            </w:r>
          </w:p>
        </w:tc>
        <w:tc>
          <w:tcPr>
            <w:tcW w:w="992" w:type="pct"/>
            <w:vAlign w:val="center"/>
          </w:tcPr>
          <w:p w14:paraId="1B4F2805">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指标/样本</w:t>
            </w:r>
          </w:p>
        </w:tc>
        <w:tc>
          <w:tcPr>
            <w:tcW w:w="985" w:type="pct"/>
            <w:vAlign w:val="center"/>
          </w:tcPr>
          <w:p w14:paraId="4652D9D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3000</w:t>
            </w:r>
          </w:p>
        </w:tc>
      </w:tr>
      <w:tr w14:paraId="4AA75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6E2771EE">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00" w:type="pct"/>
            <w:vAlign w:val="center"/>
          </w:tcPr>
          <w:p w14:paraId="6AA7E92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WB检测</w:t>
            </w:r>
          </w:p>
        </w:tc>
        <w:tc>
          <w:tcPr>
            <w:tcW w:w="938" w:type="pct"/>
            <w:vAlign w:val="center"/>
          </w:tcPr>
          <w:p w14:paraId="450E667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100</w:t>
            </w:r>
          </w:p>
        </w:tc>
        <w:tc>
          <w:tcPr>
            <w:tcW w:w="545" w:type="pct"/>
            <w:vAlign w:val="center"/>
          </w:tcPr>
          <w:p w14:paraId="599507C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w:t>
            </w:r>
          </w:p>
        </w:tc>
        <w:tc>
          <w:tcPr>
            <w:tcW w:w="992" w:type="pct"/>
            <w:vAlign w:val="center"/>
          </w:tcPr>
          <w:p w14:paraId="06C6B2C9">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指标/样本</w:t>
            </w:r>
          </w:p>
        </w:tc>
        <w:tc>
          <w:tcPr>
            <w:tcW w:w="985" w:type="pct"/>
            <w:vAlign w:val="center"/>
          </w:tcPr>
          <w:p w14:paraId="13B6183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3000</w:t>
            </w:r>
          </w:p>
        </w:tc>
      </w:tr>
      <w:tr w14:paraId="47915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37" w:type="pct"/>
            <w:vAlign w:val="center"/>
          </w:tcPr>
          <w:p w14:paraId="26EDCD7D">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00" w:type="pct"/>
            <w:vAlign w:val="center"/>
          </w:tcPr>
          <w:p w14:paraId="3DD8FC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电生理膜片钳</w:t>
            </w:r>
          </w:p>
        </w:tc>
        <w:tc>
          <w:tcPr>
            <w:tcW w:w="938" w:type="pct"/>
            <w:vAlign w:val="center"/>
          </w:tcPr>
          <w:p w14:paraId="7511CD9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3000</w:t>
            </w:r>
          </w:p>
        </w:tc>
        <w:tc>
          <w:tcPr>
            <w:tcW w:w="545" w:type="pct"/>
            <w:vAlign w:val="center"/>
          </w:tcPr>
          <w:p w14:paraId="6DA7B13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w:t>
            </w:r>
          </w:p>
        </w:tc>
        <w:tc>
          <w:tcPr>
            <w:tcW w:w="992" w:type="pct"/>
            <w:vAlign w:val="center"/>
          </w:tcPr>
          <w:p w14:paraId="7231A5E4">
            <w:pPr>
              <w:widowControl/>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color w:val="auto"/>
                <w:kern w:val="0"/>
                <w:sz w:val="24"/>
                <w:szCs w:val="24"/>
                <w:lang w:bidi="ar"/>
              </w:rPr>
              <w:t>个</w:t>
            </w:r>
          </w:p>
        </w:tc>
        <w:tc>
          <w:tcPr>
            <w:tcW w:w="985" w:type="pct"/>
            <w:vAlign w:val="center"/>
          </w:tcPr>
          <w:p w14:paraId="48B756B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30000</w:t>
            </w:r>
          </w:p>
        </w:tc>
      </w:tr>
    </w:tbl>
    <w:p w14:paraId="3696D351">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sz w:val="22"/>
          <w:szCs w:val="22"/>
        </w:rPr>
      </w:pPr>
      <w:r>
        <w:rPr>
          <w:rFonts w:hint="eastAsia" w:ascii="仿宋" w:hAnsi="仿宋" w:eastAsia="仿宋" w:cs="仿宋"/>
          <w:b/>
          <w:sz w:val="28"/>
        </w:rPr>
        <w:t>3.2.技术要求</w:t>
      </w:r>
    </w:p>
    <w:p w14:paraId="559E3963">
      <w:pPr>
        <w:pStyle w:val="2"/>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eastAsia="仿宋" w:cs="Times New Roman"/>
          <w:color w:val="auto"/>
          <w:kern w:val="2"/>
          <w:sz w:val="24"/>
          <w:szCs w:val="24"/>
          <w:lang w:val="en-US" w:eastAsia="zh-CN" w:bidi="ar-SA"/>
        </w:rPr>
      </w:pPr>
      <w:r>
        <w:rPr>
          <w:rFonts w:hint="eastAsia"/>
          <w:lang w:val="en-US" w:eastAsia="zh-CN"/>
        </w:rPr>
        <w:t xml:space="preserve">   </w:t>
      </w:r>
      <w:r>
        <w:rPr>
          <w:rFonts w:hint="eastAsia" w:ascii="Times New Roman" w:hAnsi="Times New Roman" w:eastAsia="仿宋" w:cs="Times New Roman"/>
          <w:color w:val="auto"/>
          <w:kern w:val="2"/>
          <w:sz w:val="24"/>
          <w:szCs w:val="24"/>
          <w:lang w:val="en-US" w:eastAsia="zh-CN" w:bidi="ar-SA"/>
        </w:rPr>
        <w:t xml:space="preserve"> </w:t>
      </w:r>
      <w:r>
        <w:rPr>
          <w:rFonts w:ascii="Times New Roman" w:hAnsi="Times New Roman" w:eastAsia="仿宋" w:cs="Times New Roman"/>
          <w:color w:val="auto"/>
          <w:kern w:val="2"/>
          <w:sz w:val="24"/>
          <w:szCs w:val="24"/>
          <w:lang w:val="en-US" w:eastAsia="zh-CN" w:bidi="ar-SA"/>
        </w:rPr>
        <w:t>★</w:t>
      </w:r>
      <w:r>
        <w:rPr>
          <w:rFonts w:hint="eastAsia" w:ascii="Times New Roman" w:hAnsi="Times New Roman" w:eastAsia="仿宋" w:cs="Times New Roman"/>
          <w:color w:val="auto"/>
          <w:kern w:val="2"/>
          <w:sz w:val="24"/>
          <w:szCs w:val="24"/>
          <w:lang w:val="en-US" w:eastAsia="zh-CN" w:bidi="ar-SA"/>
        </w:rPr>
        <w:t>采购实验检测服务，按照所提供服务进行</w:t>
      </w:r>
      <w:r>
        <w:rPr>
          <w:rFonts w:hint="eastAsia" w:eastAsia="仿宋" w:cs="Times New Roman"/>
          <w:color w:val="auto"/>
          <w:kern w:val="2"/>
          <w:sz w:val="24"/>
          <w:szCs w:val="24"/>
          <w:lang w:val="en-US" w:eastAsia="zh-CN" w:bidi="ar-SA"/>
        </w:rPr>
        <w:t>，</w:t>
      </w:r>
      <w:r>
        <w:rPr>
          <w:rFonts w:hint="eastAsia" w:ascii="Times New Roman" w:hAnsi="Times New Roman" w:eastAsia="仿宋" w:cs="Times New Roman"/>
          <w:color w:val="auto"/>
          <w:kern w:val="2"/>
          <w:sz w:val="24"/>
          <w:szCs w:val="24"/>
          <w:lang w:val="en-US" w:eastAsia="zh-CN" w:bidi="ar-SA"/>
        </w:rPr>
        <w:t>据实结算。</w:t>
      </w:r>
    </w:p>
    <w:p w14:paraId="5C04988E">
      <w:pPr>
        <w:keepNext w:val="0"/>
        <w:keepLines w:val="0"/>
        <w:pageBreakBefore w:val="0"/>
        <w:kinsoku/>
        <w:wordWrap/>
        <w:overflowPunct/>
        <w:topLinePunct w:val="0"/>
        <w:autoSpaceDE/>
        <w:autoSpaceDN/>
        <w:bidi w:val="0"/>
        <w:adjustRightInd/>
        <w:snapToGrid/>
        <w:spacing w:line="312" w:lineRule="auto"/>
        <w:ind w:firstLine="42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（1）免疫荧光：采用最新的TSA技术，结果进行定性及半定量分析。</w:t>
      </w:r>
    </w:p>
    <w:p w14:paraId="245BF60C">
      <w:pPr>
        <w:keepNext w:val="0"/>
        <w:keepLines w:val="0"/>
        <w:pageBreakBefore w:val="0"/>
        <w:kinsoku/>
        <w:wordWrap/>
        <w:overflowPunct/>
        <w:topLinePunct w:val="0"/>
        <w:autoSpaceDE/>
        <w:autoSpaceDN/>
        <w:bidi w:val="0"/>
        <w:adjustRightInd/>
        <w:snapToGrid/>
        <w:spacing w:line="312" w:lineRule="auto"/>
        <w:ind w:firstLine="42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（2）透射电镜：采用前后双固定法，多方位拍照观察采集图像并分析。</w:t>
      </w:r>
    </w:p>
    <w:p w14:paraId="66EA45B9">
      <w:pPr>
        <w:keepNext w:val="0"/>
        <w:keepLines w:val="0"/>
        <w:pageBreakBefore w:val="0"/>
        <w:kinsoku/>
        <w:wordWrap/>
        <w:overflowPunct/>
        <w:topLinePunct w:val="0"/>
        <w:autoSpaceDE/>
        <w:autoSpaceDN/>
        <w:bidi w:val="0"/>
        <w:adjustRightInd/>
        <w:snapToGrid/>
        <w:spacing w:line="312" w:lineRule="auto"/>
        <w:ind w:firstLine="42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（3）WB检测：实验中采用整膜，实验方法重复三次。  </w:t>
      </w:r>
    </w:p>
    <w:p w14:paraId="02ED56C2">
      <w:pPr>
        <w:keepNext w:val="0"/>
        <w:keepLines w:val="0"/>
        <w:pageBreakBefore w:val="0"/>
        <w:kinsoku/>
        <w:wordWrap/>
        <w:overflowPunct/>
        <w:topLinePunct w:val="0"/>
        <w:autoSpaceDE/>
        <w:autoSpaceDN/>
        <w:bidi w:val="0"/>
        <w:adjustRightInd/>
        <w:snapToGrid/>
        <w:spacing w:line="312" w:lineRule="auto"/>
        <w:ind w:firstLine="420"/>
        <w:textAlignment w:val="auto"/>
        <w:rPr>
          <w:rFonts w:hint="eastAsia" w:ascii="Times New Roman" w:hAnsi="Times New Roman" w:eastAsia="仿宋" w:cs="Times New Roman"/>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（4）</w:t>
      </w:r>
      <w:r>
        <w:rPr>
          <w:rFonts w:hint="eastAsia" w:ascii="Times New Roman" w:hAnsi="Times New Roman" w:eastAsia="仿宋" w:cs="Times New Roman"/>
          <w:color w:val="auto"/>
          <w:kern w:val="2"/>
          <w:sz w:val="24"/>
          <w:szCs w:val="24"/>
          <w:lang w:val="en-US" w:eastAsia="zh-CN" w:bidi="ar-SA"/>
        </w:rPr>
        <w:t>切片全息扫描：用匈牙利3D进口扫描仪进行扫描，放大630倍观察片子。</w:t>
      </w:r>
    </w:p>
    <w:p w14:paraId="13DB733C">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auto"/>
        <w:rPr>
          <w:rFonts w:hint="eastAsia" w:ascii="Times New Roman" w:hAnsi="Times New Roman" w:eastAsia="仿宋"/>
          <w:color w:val="auto"/>
          <w:sz w:val="24"/>
        </w:rPr>
      </w:pPr>
      <w:r>
        <w:rPr>
          <w:rFonts w:hint="eastAsia" w:ascii="Times New Roman" w:hAnsi="Times New Roman" w:eastAsia="仿宋"/>
          <w:color w:val="auto"/>
          <w:sz w:val="24"/>
        </w:rPr>
        <w:t>须知</w:t>
      </w:r>
      <w:r>
        <w:rPr>
          <w:rFonts w:hint="eastAsia" w:eastAsia="仿宋"/>
          <w:color w:val="auto"/>
          <w:sz w:val="24"/>
          <w:lang w:eastAsia="zh-CN"/>
        </w:rPr>
        <w:t>：</w:t>
      </w:r>
      <w:r>
        <w:rPr>
          <w:rFonts w:hint="eastAsia" w:ascii="仿宋" w:hAnsi="仿宋" w:eastAsia="仿宋" w:cs="仿宋"/>
          <w:color w:val="auto"/>
          <w:sz w:val="24"/>
        </w:rPr>
        <w:t>1.本部分标注“★”的条款为本项目的实质性条款，</w:t>
      </w:r>
      <w:r>
        <w:rPr>
          <w:rFonts w:hint="eastAsia" w:ascii="仿宋" w:hAnsi="仿宋" w:eastAsia="仿宋" w:cs="仿宋"/>
          <w:color w:val="auto"/>
          <w:sz w:val="24"/>
          <w:lang w:eastAsia="zh-CN"/>
        </w:rPr>
        <w:t>供应商</w:t>
      </w:r>
      <w:r>
        <w:rPr>
          <w:rFonts w:hint="eastAsia" w:ascii="仿宋" w:hAnsi="仿宋" w:eastAsia="仿宋" w:cs="仿宋"/>
          <w:color w:val="auto"/>
          <w:sz w:val="24"/>
        </w:rPr>
        <w:t>不满足的，将按照无效投标处理</w:t>
      </w:r>
      <w:r>
        <w:rPr>
          <w:rFonts w:hint="eastAsia" w:ascii="仿宋" w:hAnsi="仿宋" w:eastAsia="仿宋" w:cs="仿宋"/>
          <w:color w:val="auto"/>
          <w:sz w:val="24"/>
          <w:lang w:eastAsia="zh-CN"/>
        </w:rPr>
        <w:t>。</w:t>
      </w:r>
    </w:p>
    <w:p w14:paraId="14842C86">
      <w:pPr>
        <w:spacing w:line="360" w:lineRule="auto"/>
        <w:ind w:firstLine="420"/>
        <w:rPr>
          <w:rFonts w:hint="eastAsia" w:ascii="Times New Roman" w:hAnsi="Times New Roman" w:eastAsia="仿宋" w:cs="Times New Roman"/>
          <w:color w:val="auto"/>
          <w:kern w:val="2"/>
          <w:sz w:val="24"/>
          <w:szCs w:val="24"/>
          <w:lang w:val="en-US" w:eastAsia="zh-CN" w:bidi="ar-SA"/>
        </w:rPr>
      </w:pPr>
    </w:p>
    <w:p w14:paraId="34AD07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★3.3、商务</w:t>
      </w:r>
      <w:r>
        <w:rPr>
          <w:rFonts w:hint="eastAsia" w:ascii="仿宋" w:hAnsi="仿宋" w:eastAsia="仿宋" w:cs="仿宋"/>
          <w:b/>
          <w:sz w:val="28"/>
        </w:rPr>
        <w:t>要求</w:t>
      </w:r>
    </w:p>
    <w:p w14:paraId="1AE9A7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outlineLvl w:val="3"/>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1.交货期及地点 </w:t>
      </w:r>
    </w:p>
    <w:p w14:paraId="09DF2EF3">
      <w:pPr>
        <w:pStyle w:val="5"/>
        <w:spacing w:line="360" w:lineRule="auto"/>
        <w:ind w:firstLine="480" w:firstLineChars="0"/>
        <w:jc w:val="left"/>
        <w:outlineLvl w:val="3"/>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（1）交货期：每次配送时间必须严格按照采购人配送通知执行，成交供应商应于收到通知后2小时内响应。</w:t>
      </w:r>
    </w:p>
    <w:p w14:paraId="0E00FDE6">
      <w:pPr>
        <w:pStyle w:val="5"/>
        <w:ind w:firstLine="480" w:firstLineChars="0"/>
        <w:jc w:val="left"/>
        <w:outlineLvl w:val="3"/>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（2）交货地点：内江市第一人民医院指定地点。</w:t>
      </w:r>
    </w:p>
    <w:p w14:paraId="298E0B7E">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2D52A051">
      <w:pPr>
        <w:pStyle w:val="5"/>
        <w:spacing w:line="360" w:lineRule="auto"/>
        <w:ind w:firstLine="480" w:firstLineChars="0"/>
        <w:jc w:val="left"/>
        <w:outlineLvl w:val="3"/>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（1）结算方式：货款按实结算且由双方协商决定。</w:t>
      </w:r>
    </w:p>
    <w:p w14:paraId="4EB76499">
      <w:pPr>
        <w:pStyle w:val="5"/>
        <w:spacing w:line="360" w:lineRule="auto"/>
        <w:ind w:firstLine="480" w:firstLineChars="0"/>
        <w:jc w:val="left"/>
        <w:outlineLvl w:val="3"/>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（2）成交价格包含成本、运输、包装、培训、配送、伴随服务、税费及其他附加费用。</w:t>
      </w:r>
    </w:p>
    <w:p w14:paraId="08086F7D">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3.验收</w:t>
      </w:r>
    </w:p>
    <w:p w14:paraId="421DCFA9">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1）按照《财政部关于进一步加强政府采购需求和履约验收管理的指导意见》（财库〔2016〕205号）的要求以及采购人竞选文件的质量要求和技术指标、成交供应商的响应文件及承诺（若有）、国家（行业）标准、采购合同约定标准进行验收。</w:t>
      </w:r>
    </w:p>
    <w:p w14:paraId="5B9FD2A2">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（2）验收数量需求：由项目负责人确认实际用量是否合格。</w:t>
      </w:r>
    </w:p>
    <w:p w14:paraId="3AABE4AE">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3）验收时如发现所交付的检测报告不符合验收标准的，采购人应做出详尽的现场记录，此现场记录或备忘录可用作补充、缺失和更换损坏部件的有效证据，由此产生的时间延误与有关费用由成交供应商承担，验收期限相应顺延。</w:t>
      </w:r>
    </w:p>
    <w:p w14:paraId="745BBB48">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4）若所提供报告不符合验收标准，成交供应商经过2次更正后仍不能达到验收质量标准，则视为验收不合格，采购人有权不认可全部（或部分）报告或解除合同。涉及费用或损失均由成交供应商自行承担，还应向采购人承担相应的违约责任。</w:t>
      </w:r>
    </w:p>
    <w:p w14:paraId="7EBB2539">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（5）其他未尽事宜严格按照《财政部关于进一步加强政府采购需求和履约验收管理的指导意见》（财库〔2016〕205号）的要求进行。</w:t>
      </w:r>
    </w:p>
    <w:p w14:paraId="41D36D6A">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4.售后服务</w:t>
      </w:r>
    </w:p>
    <w:p w14:paraId="4E987419">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（1）要求成交供应商必须严格按照竞选文件要求和响应文件中的承诺提供配送服务。</w:t>
      </w:r>
    </w:p>
    <w:p w14:paraId="332FF07E">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（2）要求成交供应商指派专人负责与采购人联系售后服务事宜；在响应文件中列明售后联系人及联系电话。</w:t>
      </w:r>
    </w:p>
    <w:p w14:paraId="183CCD03">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（3）要求成交供应商须按采购人要求分期分批进行检测。</w:t>
      </w:r>
    </w:p>
    <w:p w14:paraId="6C6A0132">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 xml:space="preserve">5.包装和运输 </w:t>
      </w:r>
    </w:p>
    <w:p w14:paraId="54C6B57D">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5F52338D">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58C56342">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（3）本次采购的标的物需要运输，成交供应商在合同约定的时间内将标的物运输至合同约定地点。</w:t>
      </w:r>
    </w:p>
    <w:p w14:paraId="47BD4AE0">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6.标本处理</w:t>
      </w:r>
    </w:p>
    <w:p w14:paraId="521C6BBE">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成交供应商应当按采购人需求开展相关检测，不得将标本挪作他用，并在检测结束后及时按要求销毁未使用完的所有标本。</w:t>
      </w:r>
    </w:p>
    <w:p w14:paraId="779433B7">
      <w:pPr>
        <w:pStyle w:val="5"/>
        <w:spacing w:line="240" w:lineRule="auto"/>
        <w:jc w:val="left"/>
        <w:outlineLvl w:val="1"/>
        <w:rPr>
          <w:rFonts w:hint="eastAsia" w:ascii="仿宋" w:hAnsi="仿宋" w:eastAsia="仿宋" w:cs="仿宋"/>
        </w:rPr>
      </w:pPr>
      <w:r>
        <w:rPr>
          <w:rFonts w:hint="eastAsia" w:ascii="仿宋" w:hAnsi="仿宋" w:eastAsia="仿宋" w:cs="仿宋"/>
          <w:b/>
          <w:sz w:val="28"/>
        </w:rPr>
        <w:t>3.4.其他要求</w:t>
      </w:r>
    </w:p>
    <w:p w14:paraId="13758BE0">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52ACA7CE">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49EBF157">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（1）成交供应商逾期15日内不能提供采购人所需的检测结果的，应向采购人每日支付该批次货款千分之三的违约金。</w:t>
      </w:r>
    </w:p>
    <w:p w14:paraId="59757185">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（2）成交供应商逾期15日及以上不能交付以上产品的，视同不能供货，须向采购人支付该批次货款的10%的违约金，同时采购人可以单方面解除采购合同。</w:t>
      </w:r>
    </w:p>
    <w:p w14:paraId="5896899E">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（3）若因成交供应商原因造成采购人被监管部门通报三次及以上的或者造成采购人违规采购，采购人有权单方面解除采购合同。同时，采购人有权要求成交供应商支付该批货物价款20%的违约金。</w:t>
      </w:r>
    </w:p>
    <w:p w14:paraId="66A5FA02">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4）成交供应商若发生严重医疗不良事件或被国家法定检测机构检测为不合格，视为成交供应商违约导致不能实现采购合同目的，采购人有权单方面解除采购合同，并要求成交供应商需承担合同价款20%的违约金，违约金不足以弥补采购人损失的，成交供应商还应当承补足。</w:t>
      </w:r>
    </w:p>
    <w:p w14:paraId="29DB49BE">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（5）若根据法律规定或本协议约定违约或违规情况产生，由成交供应商各项税、费或其他费用支出。</w:t>
      </w:r>
    </w:p>
    <w:p w14:paraId="0B45C40F">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（6）成交供应商不能保证及时提供检测报告，除应当向采购人承担违约责任外，采购人仍有权单方面解除采购合同。</w:t>
      </w:r>
    </w:p>
    <w:p w14:paraId="752FC9FC">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（7）因成交供应商的违规操作造成采购人或第三人人身损害或财产损失的，由成交供应商承担赔偿责任。</w:t>
      </w:r>
    </w:p>
    <w:p w14:paraId="133EEDE6">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bookmarkStart w:id="0" w:name="_GoBack"/>
      <w:bookmarkEnd w:id="0"/>
    </w:p>
    <w:p w14:paraId="12E343C6">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1.2解决合同纠纷的方式</w:t>
      </w:r>
    </w:p>
    <w:p w14:paraId="662F9CDA">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color w:val="000000"/>
          <w:kern w:val="0"/>
          <w:sz w:val="24"/>
          <w:szCs w:val="24"/>
          <w:u w:val="none"/>
          <w:lang w:val="en-US" w:eastAsia="zh-CN" w:bidi="ar"/>
        </w:rPr>
        <w:t>合同履行期间，若双方发生争议，可协商或由有关部门调解解决，协商或调解不成的，可向采购人所在地人民法院依法提起诉讼。</w:t>
      </w:r>
    </w:p>
    <w:p w14:paraId="579875AF">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3</w:t>
      </w:r>
      <w:r>
        <w:rPr>
          <w:rFonts w:hint="eastAsia" w:ascii="Times New Roman" w:hAnsi="Times New Roman" w:eastAsia="仿宋" w:cs="Times New Roman"/>
          <w:color w:val="auto"/>
          <w:sz w:val="24"/>
          <w:szCs w:val="24"/>
          <w:highlight w:val="none"/>
          <w:shd w:val="clear" w:color="auto" w:fill="auto"/>
          <w:lang w:val="en-US" w:eastAsia="zh-CN"/>
        </w:rPr>
        <w:t>年。</w:t>
      </w:r>
    </w:p>
    <w:p w14:paraId="624C1507">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3.合同支付约定：</w:t>
      </w:r>
      <w:r>
        <w:rPr>
          <w:rFonts w:hint="eastAsia" w:ascii="仿宋" w:hAnsi="仿宋" w:eastAsia="仿宋" w:cs="仿宋"/>
          <w:color w:val="000000"/>
          <w:kern w:val="0"/>
          <w:sz w:val="24"/>
          <w:szCs w:val="24"/>
          <w:u w:val="none"/>
          <w:lang w:val="en-US" w:eastAsia="zh-CN" w:bidi="ar"/>
        </w:rPr>
        <w:t>双方协商确定。</w:t>
      </w:r>
    </w:p>
    <w:p w14:paraId="088FEA70">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4"/>
          <w:szCs w:val="24"/>
          <w:u w:val="none"/>
          <w:lang w:val="en-US" w:eastAsia="zh-CN" w:bidi="ar"/>
        </w:rPr>
        <w:t>分批次验收。</w:t>
      </w:r>
    </w:p>
    <w:p w14:paraId="1DD8D2FC">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b w:val="0"/>
          <w:bCs w:val="0"/>
          <w:sz w:val="24"/>
          <w:szCs w:val="24"/>
          <w:lang w:val="en-US" w:eastAsia="zh-CN"/>
        </w:rPr>
        <w:t>合同期限内，根据采购人要求分批次检测，并出具合格检测报告。</w:t>
      </w:r>
      <w:r>
        <w:rPr>
          <w:rFonts w:hint="eastAsia" w:ascii="仿宋" w:hAnsi="仿宋" w:eastAsia="仿宋" w:cs="仿宋"/>
          <w:b w:val="0"/>
          <w:bCs w:val="0"/>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BE4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 w:val="18"/>
      <w:szCs w:val="20"/>
    </w:r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2025-03-17T09:42:54Z</dcterms:created>
  <dc:creator>41726</dc:creator>
  <cp:lastModifiedBy>小鱼儿</cp:lastModifiedBy>
  <dcterms:modified xsi:type="dcterms:W3CDTF">2025-03-17T09:42:59Z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eyJoZGlkIjoiNWQ5Y2VlM2EwYzAwOWVhNTA5M2U1OGJkNWM4NmJiNjgiLCJ1c2VySWQiOiI5NzExMDY4NjMifQ==</vt:lpwstr>
  </property>
  <property fmtid="{D5CDD505-2E9C-101B-9397-08002B2CF9AE}" pid="4" name="ICV">
    <vt:lpwstr>56955A275B734D83A01FEEB4FAF379E1_12</vt:lpwstr>
  </property>
</Properties>
</file>