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4"/>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0850A5A1">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4"/>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6B0BFD91">
      <w:pPr>
        <w:pStyle w:val="4"/>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9"/>
        <w:gridCol w:w="631"/>
        <w:gridCol w:w="2441"/>
        <w:gridCol w:w="1656"/>
        <w:gridCol w:w="1656"/>
        <w:gridCol w:w="1656"/>
      </w:tblGrid>
      <w:tr w14:paraId="06309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1" w:type="pct"/>
            <w:vAlign w:val="center"/>
          </w:tcPr>
          <w:p w14:paraId="464DF4A0">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5DFB1238">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1" w:type="pct"/>
            <w:vAlign w:val="center"/>
          </w:tcPr>
          <w:p w14:paraId="75479793">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04E8553B">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1F8BE7D7">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01C98B4E">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7061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restart"/>
            <w:vAlign w:val="center"/>
          </w:tcPr>
          <w:p w14:paraId="0A3B8807">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134B04C9">
            <w:pPr>
              <w:pStyle w:val="4"/>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431" w:type="pct"/>
            <w:vAlign w:val="center"/>
          </w:tcPr>
          <w:p w14:paraId="36E34CB6">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一次性使用热活检钳</w:t>
            </w:r>
          </w:p>
        </w:tc>
        <w:tc>
          <w:tcPr>
            <w:tcW w:w="971" w:type="pct"/>
            <w:vAlign w:val="center"/>
          </w:tcPr>
          <w:p w14:paraId="243A9074">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380</w:t>
            </w:r>
          </w:p>
        </w:tc>
        <w:tc>
          <w:tcPr>
            <w:tcW w:w="971" w:type="pct"/>
            <w:vAlign w:val="center"/>
          </w:tcPr>
          <w:p w14:paraId="51F47E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971" w:type="pct"/>
            <w:vAlign w:val="center"/>
          </w:tcPr>
          <w:p w14:paraId="262B28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E24B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5A8D6C3">
            <w:pPr>
              <w:pStyle w:val="4"/>
              <w:jc w:val="center"/>
              <w:rPr>
                <w:rFonts w:hint="eastAsia" w:ascii="仿宋" w:hAnsi="仿宋" w:eastAsia="仿宋" w:cs="仿宋"/>
                <w:sz w:val="21"/>
                <w:szCs w:val="21"/>
                <w:lang w:val="en-US" w:eastAsia="zh-CN"/>
              </w:rPr>
            </w:pPr>
          </w:p>
        </w:tc>
        <w:tc>
          <w:tcPr>
            <w:tcW w:w="370" w:type="pct"/>
            <w:vAlign w:val="center"/>
          </w:tcPr>
          <w:p w14:paraId="60F05CA1">
            <w:pPr>
              <w:pStyle w:val="4"/>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1431" w:type="pct"/>
            <w:vAlign w:val="center"/>
          </w:tcPr>
          <w:p w14:paraId="262A7280">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一次性内镜下液体输送喷洒管</w:t>
            </w:r>
          </w:p>
        </w:tc>
        <w:tc>
          <w:tcPr>
            <w:tcW w:w="971" w:type="pct"/>
            <w:vAlign w:val="center"/>
          </w:tcPr>
          <w:p w14:paraId="226D2DC0">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252</w:t>
            </w:r>
          </w:p>
        </w:tc>
        <w:tc>
          <w:tcPr>
            <w:tcW w:w="971" w:type="pct"/>
            <w:vAlign w:val="center"/>
          </w:tcPr>
          <w:p w14:paraId="1E2CE33D">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971" w:type="pct"/>
            <w:vAlign w:val="center"/>
          </w:tcPr>
          <w:p w14:paraId="404E2970">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2420DD98">
      <w:pPr>
        <w:pStyle w:val="4"/>
        <w:ind w:firstLine="480"/>
        <w:jc w:val="left"/>
        <w:rPr>
          <w:rFonts w:hint="eastAsia" w:ascii="仿宋" w:hAnsi="仿宋" w:eastAsia="仿宋" w:cs="仿宋"/>
        </w:rPr>
      </w:pPr>
    </w:p>
    <w:p w14:paraId="179EBDA3">
      <w:pPr>
        <w:pStyle w:val="4"/>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0ED2689D">
      <w:pPr>
        <w:pStyle w:val="4"/>
        <w:jc w:val="left"/>
        <w:rPr>
          <w:rFonts w:hint="eastAsia" w:ascii="仿宋" w:hAnsi="仿宋" w:eastAsia="仿宋" w:cs="仿宋"/>
        </w:rPr>
      </w:pPr>
    </w:p>
    <w:p w14:paraId="4FC78A64">
      <w:pPr>
        <w:pStyle w:val="4"/>
        <w:jc w:val="left"/>
        <w:outlineLvl w:val="1"/>
        <w:rPr>
          <w:rFonts w:hint="eastAsia" w:ascii="仿宋" w:hAnsi="仿宋" w:eastAsia="仿宋" w:cs="仿宋"/>
          <w:lang w:eastAsia="zh-CN"/>
        </w:rPr>
      </w:pPr>
      <w:r>
        <w:rPr>
          <w:rFonts w:hint="eastAsia" w:ascii="仿宋" w:hAnsi="仿宋" w:eastAsia="仿宋" w:cs="仿宋"/>
          <w:b/>
          <w:sz w:val="28"/>
        </w:rPr>
        <w:t>3.2.技术要求</w:t>
      </w:r>
    </w:p>
    <w:p w14:paraId="7196B1CD">
      <w:pPr>
        <w:pStyle w:val="4"/>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1"/>
        <w:gridCol w:w="1656"/>
        <w:gridCol w:w="1656"/>
        <w:gridCol w:w="2114"/>
        <w:gridCol w:w="1656"/>
        <w:gridCol w:w="919"/>
      </w:tblGrid>
      <w:tr w14:paraId="24AB7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21" w:type="dxa"/>
            <w:vAlign w:val="center"/>
          </w:tcPr>
          <w:p w14:paraId="28EBC841">
            <w:pPr>
              <w:pStyle w:val="4"/>
              <w:jc w:val="center"/>
              <w:rPr>
                <w:rFonts w:hint="eastAsia" w:ascii="仿宋" w:hAnsi="仿宋" w:eastAsia="仿宋" w:cs="仿宋"/>
              </w:rPr>
            </w:pPr>
            <w:r>
              <w:rPr>
                <w:rFonts w:hint="eastAsia" w:ascii="仿宋" w:hAnsi="仿宋" w:eastAsia="仿宋" w:cs="仿宋"/>
              </w:rPr>
              <w:t>序号</w:t>
            </w:r>
          </w:p>
        </w:tc>
        <w:tc>
          <w:tcPr>
            <w:tcW w:w="1656" w:type="dxa"/>
            <w:vAlign w:val="center"/>
          </w:tcPr>
          <w:p w14:paraId="43FF87F7">
            <w:pPr>
              <w:pStyle w:val="4"/>
              <w:jc w:val="center"/>
              <w:rPr>
                <w:rFonts w:hint="eastAsia" w:ascii="仿宋" w:hAnsi="仿宋" w:eastAsia="仿宋" w:cs="仿宋"/>
              </w:rPr>
            </w:pPr>
            <w:r>
              <w:rPr>
                <w:rFonts w:hint="eastAsia" w:ascii="仿宋" w:hAnsi="仿宋" w:eastAsia="仿宋" w:cs="仿宋"/>
                <w:lang w:val="en-US" w:eastAsia="zh-CN"/>
              </w:rPr>
              <w:t>名称</w:t>
            </w:r>
          </w:p>
        </w:tc>
        <w:tc>
          <w:tcPr>
            <w:tcW w:w="1656" w:type="dxa"/>
            <w:vAlign w:val="center"/>
          </w:tcPr>
          <w:p w14:paraId="4FB3F509">
            <w:pPr>
              <w:pStyle w:val="4"/>
              <w:jc w:val="center"/>
              <w:rPr>
                <w:rFonts w:hint="eastAsia" w:ascii="仿宋" w:hAnsi="仿宋" w:eastAsia="仿宋" w:cs="仿宋"/>
              </w:rPr>
            </w:pPr>
            <w:r>
              <w:rPr>
                <w:rFonts w:hint="eastAsia" w:ascii="仿宋" w:hAnsi="仿宋" w:eastAsia="仿宋" w:cs="仿宋"/>
                <w:lang w:val="en-US" w:eastAsia="zh-CN"/>
              </w:rPr>
              <w:t>医保耗材代码</w:t>
            </w:r>
          </w:p>
        </w:tc>
        <w:tc>
          <w:tcPr>
            <w:tcW w:w="2114" w:type="dxa"/>
            <w:vAlign w:val="center"/>
          </w:tcPr>
          <w:p w14:paraId="61CFD4B0">
            <w:pPr>
              <w:pStyle w:val="4"/>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656" w:type="dxa"/>
            <w:vAlign w:val="center"/>
          </w:tcPr>
          <w:p w14:paraId="1CDC2FA7">
            <w:pPr>
              <w:pStyle w:val="4"/>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919" w:type="dxa"/>
            <w:vAlign w:val="center"/>
          </w:tcPr>
          <w:p w14:paraId="2D4D94B3">
            <w:pPr>
              <w:pStyle w:val="4"/>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66A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0DD51995">
            <w:pPr>
              <w:pStyle w:val="4"/>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656" w:type="dxa"/>
            <w:vAlign w:val="center"/>
          </w:tcPr>
          <w:p w14:paraId="316A3487">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b w:val="0"/>
                <w:bCs w:val="0"/>
                <w:color w:val="auto"/>
                <w:sz w:val="21"/>
                <w:szCs w:val="21"/>
                <w:highlight w:val="none"/>
                <w:shd w:val="clear" w:color="auto" w:fill="auto"/>
                <w:vertAlign w:val="baseline"/>
                <w:lang w:val="en-US" w:eastAsia="zh-CN"/>
              </w:rPr>
              <w:t>一次性使用热活检钳</w:t>
            </w:r>
          </w:p>
        </w:tc>
        <w:tc>
          <w:tcPr>
            <w:tcW w:w="1656" w:type="dxa"/>
            <w:vAlign w:val="center"/>
          </w:tcPr>
          <w:p w14:paraId="6F824886">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b w:val="0"/>
                <w:bCs w:val="0"/>
                <w:color w:val="auto"/>
                <w:sz w:val="21"/>
                <w:szCs w:val="21"/>
                <w:highlight w:val="none"/>
                <w:shd w:val="clear" w:color="auto" w:fill="auto"/>
                <w:vertAlign w:val="baseline"/>
                <w:lang w:val="en-US" w:eastAsia="zh-CN"/>
              </w:rPr>
              <w:t>C010227007</w:t>
            </w:r>
          </w:p>
        </w:tc>
        <w:tc>
          <w:tcPr>
            <w:tcW w:w="2114" w:type="dxa"/>
            <w:vAlign w:val="center"/>
          </w:tcPr>
          <w:p w14:paraId="779B6D60">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b w:val="0"/>
                <w:bCs w:val="0"/>
                <w:color w:val="auto"/>
                <w:sz w:val="21"/>
                <w:szCs w:val="21"/>
                <w:highlight w:val="none"/>
                <w:shd w:val="clear" w:color="auto" w:fill="auto"/>
                <w:vertAlign w:val="baseline"/>
                <w:lang w:val="en-US" w:eastAsia="zh-CN"/>
              </w:rPr>
              <w:t>与内镜和高频手术设备配合使用，在消化道内进行活检或粘膜止血及摘除无蔕息肉。</w:t>
            </w:r>
          </w:p>
        </w:tc>
        <w:tc>
          <w:tcPr>
            <w:tcW w:w="1656" w:type="dxa"/>
            <w:vAlign w:val="center"/>
          </w:tcPr>
          <w:p w14:paraId="1C1441C1">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919" w:type="dxa"/>
            <w:vAlign w:val="center"/>
          </w:tcPr>
          <w:p w14:paraId="7AB1CFC8">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A5B3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63D6AC8B">
            <w:pPr>
              <w:pStyle w:val="4"/>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656" w:type="dxa"/>
            <w:vAlign w:val="center"/>
          </w:tcPr>
          <w:p w14:paraId="6F7179F0">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b w:val="0"/>
                <w:bCs w:val="0"/>
                <w:color w:val="auto"/>
                <w:sz w:val="21"/>
                <w:szCs w:val="21"/>
                <w:highlight w:val="none"/>
                <w:shd w:val="clear" w:color="auto" w:fill="auto"/>
                <w:vertAlign w:val="baseline"/>
                <w:lang w:val="en-US" w:eastAsia="zh-CN"/>
              </w:rPr>
              <w:t>一次性内镜下液体输送喷洒管</w:t>
            </w:r>
          </w:p>
        </w:tc>
        <w:tc>
          <w:tcPr>
            <w:tcW w:w="1656" w:type="dxa"/>
            <w:vAlign w:val="center"/>
          </w:tcPr>
          <w:p w14:paraId="080A80B1">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21"/>
                <w:szCs w:val="21"/>
                <w:highlight w:val="none"/>
                <w:shd w:val="clear" w:color="auto" w:fill="auto"/>
                <w:vertAlign w:val="baseline"/>
                <w:lang w:val="en-US" w:eastAsia="zh-CN"/>
              </w:rPr>
              <w:t>C010215004</w:t>
            </w:r>
          </w:p>
        </w:tc>
        <w:tc>
          <w:tcPr>
            <w:tcW w:w="2114" w:type="dxa"/>
            <w:vAlign w:val="center"/>
          </w:tcPr>
          <w:p w14:paraId="36CAC227">
            <w:pPr>
              <w:keepNext w:val="0"/>
              <w:keepLines w:val="0"/>
              <w:widowControl/>
              <w:suppressLineNumbers w:val="0"/>
              <w:jc w:val="left"/>
              <w:textAlignment w:val="center"/>
              <w:rPr>
                <w:rFonts w:hint="eastAsia" w:ascii="仿宋" w:hAnsi="仿宋" w:eastAsia="仿宋" w:cs="仿宋"/>
                <w:sz w:val="22"/>
                <w:szCs w:val="28"/>
                <w:lang w:val="en-US" w:eastAsia="zh-CN"/>
              </w:rPr>
            </w:pPr>
            <w:r>
              <w:rPr>
                <w:rFonts w:hint="eastAsia" w:ascii="仿宋" w:hAnsi="仿宋" w:eastAsia="仿宋" w:cs="仿宋"/>
                <w:sz w:val="22"/>
                <w:szCs w:val="28"/>
                <w:lang w:val="en-US" w:eastAsia="zh-CN"/>
              </w:rPr>
              <w:t>与内镜配合使用，在消化道内局部精准喷洒药物，也用于内镜下注射、止血，辅助器械切除组织。</w:t>
            </w:r>
          </w:p>
        </w:tc>
        <w:tc>
          <w:tcPr>
            <w:tcW w:w="1656" w:type="dxa"/>
            <w:vAlign w:val="center"/>
          </w:tcPr>
          <w:p w14:paraId="42191EA6">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919" w:type="dxa"/>
            <w:vAlign w:val="center"/>
          </w:tcPr>
          <w:p w14:paraId="1507E911">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3AD0B06E">
      <w:pPr>
        <w:pStyle w:val="4"/>
        <w:jc w:val="left"/>
        <w:outlineLvl w:val="9"/>
        <w:rPr>
          <w:rFonts w:hint="eastAsia" w:ascii="仿宋" w:hAnsi="仿宋" w:eastAsia="仿宋" w:cs="仿宋"/>
          <w:b/>
          <w:sz w:val="28"/>
        </w:rPr>
      </w:pPr>
    </w:p>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1F9095C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6D1AD26C">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7C5D8796">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153822F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6E1892A5">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0D650F3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6B5004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13ED65D">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0C5E33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50515CB">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2986354B">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4119091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B34ED4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5D078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7DFF344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C9EAC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A9917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8778C21">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0F20E41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本合同约定标准进行验收；</w:t>
      </w:r>
    </w:p>
    <w:p w14:paraId="091C01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726C6A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54FFE1BB">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B989C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05454DA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（2）要求成交供应商指派专人负责与采购人联系售后服务事宜；在响应文件中列明售后联系人及联系电话；</w:t>
      </w:r>
    </w:p>
    <w:p w14:paraId="4D097F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9FEA5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7835D8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47590FA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1C3C12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6D49169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1A0D7D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FE4EE6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5290007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5A56A48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68A3C148">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A25148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0344AF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26F8F0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77C6361B">
      <w:pPr>
        <w:pStyle w:val="4"/>
        <w:jc w:val="left"/>
        <w:outlineLvl w:val="1"/>
        <w:rPr>
          <w:rFonts w:hint="eastAsia" w:ascii="仿宋" w:hAnsi="仿宋" w:eastAsia="仿宋" w:cs="仿宋"/>
        </w:rPr>
      </w:pPr>
      <w:r>
        <w:rPr>
          <w:rFonts w:hint="eastAsia" w:ascii="仿宋" w:hAnsi="仿宋" w:eastAsia="仿宋" w:cs="仿宋"/>
          <w:b/>
          <w:sz w:val="28"/>
        </w:rPr>
        <w:t>3.4.其他要求</w:t>
      </w:r>
    </w:p>
    <w:p w14:paraId="468D4DB8">
      <w:pPr>
        <w:pStyle w:val="4"/>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2F52EF1">
      <w:pPr>
        <w:pStyle w:val="4"/>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23FF87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（1）成交供应商逾期15日内不能提供采购人所需医用耗材的，应向采购人每日支付该批次货款千分之三的违约金。</w:t>
      </w:r>
    </w:p>
    <w:p w14:paraId="42BD0C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（2）成交供应商逾期15日及以上不能交付以上产品的，视同不能供货，须向采购人支付该批次货款的10%的违约金，同时采购人可以单方面解除本合同。</w:t>
      </w:r>
    </w:p>
    <w:p w14:paraId="5D0ED6E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（3）若因成交供应商原因造成采购人被监管部门通报三次及以上的或者造成采购人违规采购，采购人有权单方面解除本合同。同时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采购人有权要求成交供应商支付该批货物价款20%的违约金。</w:t>
      </w:r>
    </w:p>
    <w:p w14:paraId="7C1D0C7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153A35A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（5）若根据法律规定或本协议约定产生采购人退、换货或拒绝收货情形，由成交供应商承担退换货产生的各项税、费或其他支出。</w:t>
      </w:r>
    </w:p>
    <w:p w14:paraId="346F7C8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（6）成交供应商不能保证及时供货，除应当向采购人承担违约责任外，采购人仍有权单方面解除本合同。</w:t>
      </w:r>
    </w:p>
    <w:p w14:paraId="7391A5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（7）因成交供应商提供的产品不合格造成采购人或第三人人身损害或财产损失的，由成交供应商承担赔偿责任。</w:t>
      </w:r>
    </w:p>
    <w:p w14:paraId="5D7961B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19A9AE36">
      <w:pPr>
        <w:pStyle w:val="4"/>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72DE8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565CFA7E">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（2）合同</w:t>
      </w:r>
      <w:r>
        <w:rPr>
          <w:rFonts w:hint="eastAsia" w:ascii="仿宋" w:hAnsi="仿宋" w:eastAsia="仿宋" w:cs="仿宋"/>
          <w:color w:val="000000"/>
          <w:kern w:val="0"/>
          <w:sz w:val="22"/>
          <w:szCs w:val="22"/>
          <w:highlight w:val="none"/>
          <w:u w:val="none"/>
          <w:lang w:val="en-US" w:eastAsia="zh-CN" w:bidi="ar"/>
        </w:rPr>
        <w:t>履行期间，若双方发生争议，可协商或由有关部门调解解决，协商或调解不成的，可向采购人所在地人民法院依法提起诉讼。</w:t>
      </w:r>
    </w:p>
    <w:p w14:paraId="73BBDC5B">
      <w:pPr>
        <w:pStyle w:val="4"/>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39CD1221">
      <w:pPr>
        <w:pStyle w:val="4"/>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18121E5C">
      <w:pPr>
        <w:pStyle w:val="4"/>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w:t>
      </w:r>
      <w:r>
        <w:rPr>
          <w:rFonts w:hint="eastAsia" w:ascii="仿宋" w:hAnsi="仿宋" w:eastAsia="仿宋" w:cs="仿宋"/>
          <w:color w:val="000000"/>
          <w:kern w:val="0"/>
          <w:sz w:val="22"/>
          <w:szCs w:val="22"/>
          <w:u w:val="none"/>
          <w:lang w:val="en-US" w:eastAsia="zh-CN" w:bidi="ar"/>
        </w:rPr>
        <w:t>验收。</w:t>
      </w:r>
    </w:p>
    <w:p w14:paraId="25E450B9">
      <w:pPr>
        <w:pStyle w:val="4"/>
        <w:ind w:firstLine="480"/>
        <w:jc w:val="left"/>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10A23FC"/>
    <w:rsid w:val="5E1A0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3702</Words>
  <Characters>3788</Characters>
  <Lines>0</Lines>
  <Paragraphs>0</Paragraphs>
  <TotalTime>0</TotalTime>
  <ScaleCrop>false</ScaleCrop>
  <LinksUpToDate>false</LinksUpToDate>
  <CharactersWithSpaces>3793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2025-03-18T09:26:00Z</dcterms:created>
  <dc:creator>Administrator</dc:creator>
  <cp:lastModifiedBy>郑yueJun</cp:lastModifiedBy>
  <dcterms:modified xsi:type="dcterms:W3CDTF">2025-03-18T09:28:11Z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3B2AF1C9F57947AF9F062AF2C37A2C43_13</vt:lpwstr>
  </property>
</Properties>
</file>