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C83C0">
      <w:pPr>
        <w:pStyle w:val="8"/>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59EEF74B">
      <w:pPr>
        <w:pStyle w:val="8"/>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546EA99">
      <w:pPr>
        <w:pStyle w:val="8"/>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3FD71BE0">
      <w:pPr>
        <w:pStyle w:val="8"/>
        <w:jc w:val="left"/>
        <w:outlineLvl w:val="9"/>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6AE84C1B">
      <w:pPr>
        <w:pStyle w:val="8"/>
        <w:jc w:val="left"/>
        <w:outlineLvl w:val="9"/>
        <w:rPr>
          <w:rFonts w:hint="eastAsia" w:ascii="仿宋" w:hAnsi="仿宋" w:eastAsia="仿宋" w:cs="仿宋"/>
          <w:b/>
          <w:bCs/>
          <w:i w:val="0"/>
          <w:iCs w:val="0"/>
          <w:sz w:val="24"/>
          <w:szCs w:val="24"/>
        </w:rPr>
      </w:pP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1"/>
        <w:gridCol w:w="601"/>
        <w:gridCol w:w="2704"/>
        <w:gridCol w:w="1574"/>
        <w:gridCol w:w="1567"/>
        <w:gridCol w:w="1770"/>
      </w:tblGrid>
      <w:tr w14:paraId="54879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5" w:type="pct"/>
            <w:vAlign w:val="center"/>
          </w:tcPr>
          <w:p w14:paraId="37A4399C">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42" w:type="pct"/>
            <w:vAlign w:val="center"/>
          </w:tcPr>
          <w:p w14:paraId="4FB4782E">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1538" w:type="pct"/>
            <w:vAlign w:val="center"/>
          </w:tcPr>
          <w:p w14:paraId="0A316A5D">
            <w:pPr>
              <w:pStyle w:val="8"/>
              <w:jc w:val="center"/>
              <w:rPr>
                <w:rFonts w:hint="eastAsia" w:ascii="仿宋" w:hAnsi="仿宋" w:eastAsia="仿宋" w:cs="仿宋"/>
                <w:sz w:val="24"/>
                <w:szCs w:val="24"/>
                <w:lang w:val="en-US" w:eastAsia="zh-CN"/>
              </w:rPr>
            </w:pPr>
            <w:r>
              <w:rPr>
                <w:rFonts w:hint="eastAsia" w:ascii="仿宋" w:hAnsi="仿宋" w:eastAsia="仿宋" w:cs="仿宋"/>
                <w:spacing w:val="-1"/>
                <w:sz w:val="24"/>
                <w:szCs w:val="22"/>
                <w:lang w:val="en-US" w:eastAsia="zh-CN" w:bidi="zh-CN"/>
              </w:rPr>
              <w:t>★</w:t>
            </w:r>
            <w:r>
              <w:rPr>
                <w:rFonts w:hint="eastAsia" w:ascii="仿宋" w:hAnsi="仿宋" w:eastAsia="仿宋" w:cs="仿宋"/>
                <w:sz w:val="24"/>
                <w:szCs w:val="24"/>
                <w:lang w:val="en-US" w:eastAsia="zh-CN"/>
              </w:rPr>
              <w:t>通用名</w:t>
            </w:r>
          </w:p>
        </w:tc>
        <w:tc>
          <w:tcPr>
            <w:tcW w:w="895" w:type="pct"/>
            <w:vAlign w:val="center"/>
          </w:tcPr>
          <w:p w14:paraId="42F44E10">
            <w:pPr>
              <w:spacing w:line="400" w:lineRule="exact"/>
              <w:jc w:val="center"/>
              <w:rPr>
                <w:rFonts w:hint="eastAsia" w:ascii="仿宋" w:hAnsi="仿宋" w:eastAsia="仿宋" w:cs="仿宋"/>
                <w:sz w:val="24"/>
                <w:szCs w:val="24"/>
                <w:lang w:val="en-US" w:eastAsia="zh-CN"/>
              </w:rPr>
            </w:pPr>
            <w:r>
              <w:rPr>
                <w:rFonts w:hint="eastAsia" w:ascii="Times New Roman" w:hAnsi="Times New Roman" w:eastAsia="仿宋"/>
                <w:b w:val="0"/>
                <w:bCs w:val="0"/>
                <w:sz w:val="24"/>
                <w:szCs w:val="24"/>
                <w:lang w:eastAsia="zh-Hans"/>
              </w:rPr>
              <w:t>预计数量</w:t>
            </w:r>
          </w:p>
        </w:tc>
        <w:tc>
          <w:tcPr>
            <w:tcW w:w="891" w:type="pct"/>
            <w:vAlign w:val="center"/>
          </w:tcPr>
          <w:p w14:paraId="0370AB6E">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规格★</w:t>
            </w:r>
          </w:p>
        </w:tc>
        <w:tc>
          <w:tcPr>
            <w:tcW w:w="1006" w:type="pct"/>
            <w:vAlign w:val="center"/>
          </w:tcPr>
          <w:p w14:paraId="2D86AABC">
            <w:pPr>
              <w:spacing w:line="400" w:lineRule="exact"/>
              <w:jc w:val="center"/>
              <w:rPr>
                <w:rFonts w:hint="eastAsia" w:ascii="仿宋" w:hAnsi="仿宋" w:eastAsia="仿宋" w:cs="仿宋"/>
                <w:sz w:val="24"/>
                <w:lang w:val="en-US" w:eastAsia="zh-CN"/>
              </w:rPr>
            </w:pPr>
            <w:r>
              <w:rPr>
                <w:rFonts w:hint="eastAsia" w:ascii="Times New Roman" w:hAnsi="Times New Roman" w:eastAsia="仿宋"/>
                <w:b w:val="0"/>
                <w:bCs w:val="0"/>
                <w:sz w:val="24"/>
                <w:szCs w:val="24"/>
              </w:rPr>
              <w:t>预算金额/最高限价（</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r>
      <w:tr w14:paraId="15254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restart"/>
            <w:vAlign w:val="center"/>
          </w:tcPr>
          <w:p w14:paraId="333A063D">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42" w:type="pct"/>
            <w:vAlign w:val="center"/>
          </w:tcPr>
          <w:p w14:paraId="2907B31C">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38" w:type="pct"/>
            <w:vAlign w:val="center"/>
          </w:tcPr>
          <w:p w14:paraId="2148143E">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复合碘消毒液</w:t>
            </w:r>
          </w:p>
        </w:tc>
        <w:tc>
          <w:tcPr>
            <w:tcW w:w="895" w:type="pct"/>
            <w:vAlign w:val="center"/>
          </w:tcPr>
          <w:p w14:paraId="6C94A99A">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29B4495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544C45C1">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097DC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40D25133">
            <w:pPr>
              <w:pStyle w:val="8"/>
              <w:jc w:val="center"/>
              <w:rPr>
                <w:rFonts w:hint="eastAsia" w:ascii="仿宋" w:hAnsi="仿宋" w:eastAsia="仿宋" w:cs="仿宋"/>
                <w:sz w:val="24"/>
                <w:szCs w:val="24"/>
                <w:lang w:val="en-US" w:eastAsia="zh-CN"/>
              </w:rPr>
            </w:pPr>
          </w:p>
        </w:tc>
        <w:tc>
          <w:tcPr>
            <w:tcW w:w="342" w:type="pct"/>
            <w:vAlign w:val="center"/>
          </w:tcPr>
          <w:p w14:paraId="0CF78362">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538" w:type="pct"/>
            <w:vAlign w:val="center"/>
          </w:tcPr>
          <w:p w14:paraId="2E1C83C4">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895" w:type="pct"/>
            <w:vAlign w:val="center"/>
          </w:tcPr>
          <w:p w14:paraId="629F824B">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7859791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2126C4C8">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46BF1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70DD8F65">
            <w:pPr>
              <w:pStyle w:val="8"/>
              <w:jc w:val="center"/>
              <w:rPr>
                <w:rFonts w:hint="eastAsia" w:ascii="仿宋" w:hAnsi="仿宋" w:eastAsia="仿宋" w:cs="仿宋"/>
                <w:sz w:val="24"/>
                <w:szCs w:val="24"/>
                <w:lang w:val="en-US" w:eastAsia="zh-CN"/>
              </w:rPr>
            </w:pPr>
          </w:p>
        </w:tc>
        <w:tc>
          <w:tcPr>
            <w:tcW w:w="342" w:type="pct"/>
            <w:vAlign w:val="center"/>
          </w:tcPr>
          <w:p w14:paraId="7AE3E2B1">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38" w:type="pct"/>
            <w:vAlign w:val="center"/>
          </w:tcPr>
          <w:p w14:paraId="016EDB9D">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2E5B2796">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75B0DD9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6F3D8918">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r w14:paraId="5D864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7" w:hRule="atLeast"/>
          <w:jc w:val="center"/>
        </w:trPr>
        <w:tc>
          <w:tcPr>
            <w:tcW w:w="325" w:type="pct"/>
            <w:vMerge w:val="continue"/>
            <w:vAlign w:val="center"/>
          </w:tcPr>
          <w:p w14:paraId="5D473A22">
            <w:pPr>
              <w:pStyle w:val="8"/>
              <w:jc w:val="center"/>
              <w:rPr>
                <w:rFonts w:hint="eastAsia" w:ascii="仿宋" w:hAnsi="仿宋" w:eastAsia="仿宋" w:cs="仿宋"/>
                <w:sz w:val="24"/>
                <w:szCs w:val="24"/>
                <w:lang w:val="en-US" w:eastAsia="zh-CN"/>
              </w:rPr>
            </w:pPr>
          </w:p>
        </w:tc>
        <w:tc>
          <w:tcPr>
            <w:tcW w:w="342" w:type="pct"/>
            <w:vAlign w:val="center"/>
          </w:tcPr>
          <w:p w14:paraId="488C593C">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538" w:type="pct"/>
            <w:vAlign w:val="center"/>
          </w:tcPr>
          <w:p w14:paraId="43D4303E">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0E8535E6">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0B036A9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500ml</w:t>
            </w:r>
          </w:p>
        </w:tc>
        <w:tc>
          <w:tcPr>
            <w:tcW w:w="1006" w:type="pct"/>
            <w:vAlign w:val="center"/>
          </w:tcPr>
          <w:p w14:paraId="6EF8DFF9">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bl>
    <w:p w14:paraId="502A167E">
      <w:pPr>
        <w:pStyle w:val="8"/>
        <w:ind w:firstLine="480"/>
        <w:jc w:val="left"/>
        <w:rPr>
          <w:rFonts w:hint="eastAsia" w:ascii="仿宋" w:hAnsi="仿宋" w:eastAsia="仿宋" w:cs="仿宋"/>
        </w:rPr>
      </w:pPr>
    </w:p>
    <w:p w14:paraId="47600CCA">
      <w:pPr>
        <w:pStyle w:val="8"/>
        <w:jc w:val="left"/>
        <w:outlineLvl w:val="1"/>
        <w:rPr>
          <w:rFonts w:hint="eastAsia" w:ascii="仿宋" w:hAnsi="仿宋" w:eastAsia="仿宋" w:cs="仿宋"/>
          <w:lang w:eastAsia="zh-CN"/>
        </w:rPr>
      </w:pPr>
      <w:r>
        <w:rPr>
          <w:rFonts w:hint="eastAsia" w:ascii="仿宋" w:hAnsi="仿宋" w:eastAsia="仿宋" w:cs="仿宋"/>
          <w:b/>
          <w:sz w:val="28"/>
        </w:rPr>
        <w:t>3.2.技术要求</w:t>
      </w:r>
    </w:p>
    <w:p w14:paraId="03A546A4">
      <w:pPr>
        <w:pStyle w:val="8"/>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7"/>
        <w:gridCol w:w="1413"/>
        <w:gridCol w:w="4067"/>
        <w:gridCol w:w="1622"/>
        <w:gridCol w:w="1218"/>
      </w:tblGrid>
      <w:tr w14:paraId="2926F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467" w:type="dxa"/>
            <w:vAlign w:val="center"/>
          </w:tcPr>
          <w:p w14:paraId="4F5BC61C">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bidi="ar"/>
              </w:rPr>
              <w:t>序号</w:t>
            </w:r>
          </w:p>
        </w:tc>
        <w:tc>
          <w:tcPr>
            <w:tcW w:w="1413" w:type="dxa"/>
            <w:vAlign w:val="center"/>
          </w:tcPr>
          <w:p w14:paraId="41901147">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val="en-US" w:eastAsia="zh-CN" w:bidi="ar"/>
              </w:rPr>
              <w:t>★通用名</w:t>
            </w:r>
          </w:p>
        </w:tc>
        <w:tc>
          <w:tcPr>
            <w:tcW w:w="4067" w:type="dxa"/>
            <w:vAlign w:val="center"/>
          </w:tcPr>
          <w:p w14:paraId="6E6E0615">
            <w:pPr>
              <w:ind w:firstLine="1904" w:firstLineChars="800"/>
              <w:textAlignment w:val="center"/>
              <w:rPr>
                <w:rFonts w:hint="eastAsia" w:ascii="Times New Roman" w:hAnsi="Times New Roman" w:eastAsia="仿宋" w:cs="Times New Roman"/>
                <w:sz w:val="24"/>
                <w:u w:val="none"/>
                <w:lang w:bidi="ar"/>
              </w:rPr>
            </w:pPr>
            <w:r>
              <w:rPr>
                <w:rFonts w:hint="eastAsia" w:ascii="仿宋" w:hAnsi="仿宋" w:eastAsia="仿宋" w:cs="仿宋"/>
                <w:spacing w:val="-1"/>
                <w:sz w:val="24"/>
                <w:szCs w:val="22"/>
                <w:lang w:val="zh-CN" w:eastAsia="zh-CN" w:bidi="zh-CN"/>
              </w:rPr>
              <w:t>参数</w:t>
            </w:r>
            <w:r>
              <w:rPr>
                <w:rFonts w:hint="eastAsia" w:ascii="仿宋" w:hAnsi="仿宋" w:eastAsia="仿宋" w:cs="仿宋"/>
                <w:spacing w:val="-1"/>
                <w:sz w:val="24"/>
                <w:szCs w:val="22"/>
                <w:lang w:val="en-US" w:eastAsia="zh-CN" w:bidi="zh-CN"/>
              </w:rPr>
              <w:t>★</w:t>
            </w:r>
          </w:p>
        </w:tc>
        <w:tc>
          <w:tcPr>
            <w:tcW w:w="1622" w:type="dxa"/>
            <w:shd w:val="clear" w:color="auto" w:fill="auto"/>
            <w:vAlign w:val="center"/>
          </w:tcPr>
          <w:p w14:paraId="247DA9EC">
            <w:pPr>
              <w:jc w:val="center"/>
              <w:textAlignment w:val="center"/>
              <w:rPr>
                <w:rFonts w:hint="eastAsia" w:ascii="Times New Roman" w:hAnsi="Times New Roman" w:eastAsia="仿宋" w:cs="Times New Roman"/>
                <w:kern w:val="2"/>
                <w:sz w:val="24"/>
                <w:szCs w:val="24"/>
                <w:u w:val="none"/>
                <w:lang w:val="zh-CN" w:eastAsia="zh-CN" w:bidi="ar"/>
              </w:rPr>
            </w:pPr>
            <w:r>
              <w:rPr>
                <w:rFonts w:hint="eastAsia" w:ascii="仿宋" w:hAnsi="仿宋" w:eastAsia="仿宋" w:cs="仿宋"/>
                <w:sz w:val="24"/>
                <w:lang w:val="en-US" w:eastAsia="zh-CN"/>
              </w:rPr>
              <w:t>★</w:t>
            </w:r>
            <w:r>
              <w:rPr>
                <w:rFonts w:ascii="Times New Roman" w:hAnsi="Times New Roman" w:eastAsia="仿宋"/>
                <w:b w:val="0"/>
                <w:bCs w:val="0"/>
                <w:sz w:val="24"/>
                <w:szCs w:val="24"/>
              </w:rPr>
              <w:t>单价</w:t>
            </w:r>
            <w:r>
              <w:rPr>
                <w:rFonts w:hint="eastAsia" w:ascii="Times New Roman" w:hAnsi="Times New Roman" w:eastAsia="仿宋"/>
                <w:b w:val="0"/>
                <w:bCs w:val="0"/>
                <w:sz w:val="24"/>
                <w:szCs w:val="24"/>
                <w:lang w:val="en-US" w:eastAsia="zh-Hans"/>
              </w:rPr>
              <w:t>最高限价</w:t>
            </w:r>
            <w:r>
              <w:rPr>
                <w:rFonts w:hint="eastAsia" w:ascii="Times New Roman" w:hAnsi="Times New Roman" w:eastAsia="仿宋"/>
                <w:b w:val="0"/>
                <w:bCs w:val="0"/>
                <w:sz w:val="24"/>
                <w:szCs w:val="24"/>
              </w:rPr>
              <w:t>（</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c>
          <w:tcPr>
            <w:tcW w:w="1218" w:type="dxa"/>
            <w:shd w:val="clear" w:color="auto" w:fill="auto"/>
            <w:vAlign w:val="center"/>
          </w:tcPr>
          <w:p w14:paraId="6271EF4D">
            <w:pPr>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价格权重</w:t>
            </w:r>
          </w:p>
        </w:tc>
      </w:tr>
      <w:tr w14:paraId="5F55A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735D1CBC">
            <w:pPr>
              <w:textAlignment w:val="center"/>
              <w:rPr>
                <w:rFonts w:hint="eastAsia" w:ascii="Times New Roman" w:hAnsi="Times New Roman" w:eastAsia="仿宋" w:cs="Times New Roman"/>
                <w:sz w:val="24"/>
                <w:szCs w:val="24"/>
                <w:u w:val="none"/>
                <w:lang w:bidi="ar"/>
              </w:rPr>
            </w:pPr>
            <w:r>
              <w:rPr>
                <w:rFonts w:hint="eastAsia" w:ascii="Times New Roman" w:hAnsi="Times New Roman" w:eastAsia="仿宋" w:cs="Times New Roman"/>
                <w:sz w:val="24"/>
                <w:szCs w:val="24"/>
                <w:u w:val="none"/>
                <w:lang w:val="en-US" w:eastAsia="zh-CN" w:bidi="ar"/>
              </w:rPr>
              <w:t>1</w:t>
            </w:r>
          </w:p>
        </w:tc>
        <w:tc>
          <w:tcPr>
            <w:tcW w:w="1413" w:type="dxa"/>
            <w:vAlign w:val="center"/>
          </w:tcPr>
          <w:p w14:paraId="47DA695E">
            <w:pPr>
              <w:keepNext w:val="0"/>
              <w:keepLines w:val="0"/>
              <w:widowControl/>
              <w:suppressLineNumbers w:val="0"/>
              <w:jc w:val="center"/>
              <w:textAlignment w:val="center"/>
              <w:rPr>
                <w:rFonts w:hint="eastAsia" w:ascii="Times New Roman" w:hAnsi="Times New Roman" w:eastAsia="仿宋" w:cs="Times New Roman"/>
                <w:sz w:val="24"/>
                <w:szCs w:val="24"/>
                <w:u w:val="none"/>
                <w:lang w:val="en-US" w:bidi="ar"/>
              </w:rPr>
            </w:pPr>
            <w:r>
              <w:rPr>
                <w:rFonts w:hint="eastAsia" w:ascii="Times New Roman" w:hAnsi="Times New Roman" w:eastAsia="仿宋" w:cs="Times New Roman"/>
                <w:i w:val="0"/>
                <w:kern w:val="2"/>
                <w:sz w:val="24"/>
                <w:szCs w:val="24"/>
                <w:u w:val="none"/>
                <w:lang w:val="en-US" w:eastAsia="zh-CN" w:bidi="ar"/>
              </w:rPr>
              <w:t>复合碘消毒液</w:t>
            </w:r>
          </w:p>
        </w:tc>
        <w:tc>
          <w:tcPr>
            <w:tcW w:w="4067" w:type="dxa"/>
            <w:vAlign w:val="top"/>
          </w:tcPr>
          <w:p w14:paraId="34FAD327">
            <w:pPr>
              <w:keepNext w:val="0"/>
              <w:keepLines w:val="0"/>
              <w:widowControl/>
              <w:suppressLineNumbers w:val="0"/>
              <w:jc w:val="both"/>
              <w:textAlignment w:val="center"/>
              <w:rPr>
                <w:rFonts w:hint="eastAsia" w:ascii="Times New Roman" w:hAnsi="Times New Roman" w:eastAsia="仿宋" w:cs="Times New Roman"/>
                <w:sz w:val="24"/>
                <w:szCs w:val="24"/>
                <w:u w:val="none"/>
                <w:lang w:bidi="ar"/>
              </w:rPr>
            </w:pPr>
            <w:r>
              <w:rPr>
                <w:rFonts w:hint="default" w:ascii="方正仿宋_GB2312" w:hAnsi="方正仿宋_GB2312" w:eastAsia="方正仿宋_GB2312" w:cs="方正仿宋_GB2312"/>
                <w:i w:val="0"/>
                <w:color w:val="000000"/>
                <w:kern w:val="0"/>
                <w:sz w:val="22"/>
                <w:szCs w:val="22"/>
                <w:u w:val="none"/>
                <w:lang w:val="en-US" w:eastAsia="zh-CN" w:bidi="ar"/>
              </w:rPr>
              <w:t>碘酊：有效碘含量范围/(g/L）:18-22；乙醇含量范围%:45-55；</w:t>
            </w:r>
            <w:r>
              <w:rPr>
                <w:rFonts w:hint="default" w:ascii="方正仿宋_GB2312" w:hAnsi="方正仿宋_GB2312" w:eastAsia="方正仿宋_GB2312" w:cs="方正仿宋_GB2312"/>
                <w:i w:val="0"/>
                <w:color w:val="000000"/>
                <w:kern w:val="0"/>
                <w:sz w:val="22"/>
                <w:szCs w:val="22"/>
                <w:u w:val="none"/>
                <w:lang w:val="en-US" w:eastAsia="zh-CN" w:bidi="ar"/>
              </w:rPr>
              <w:br w:type="textWrapping"/>
            </w:r>
            <w:r>
              <w:rPr>
                <w:rFonts w:hint="default" w:ascii="方正仿宋_GB2312" w:hAnsi="方正仿宋_GB2312" w:eastAsia="方正仿宋_GB2312" w:cs="方正仿宋_GB2312"/>
                <w:i w:val="0"/>
                <w:color w:val="000000"/>
                <w:kern w:val="0"/>
                <w:sz w:val="22"/>
                <w:szCs w:val="22"/>
                <w:u w:val="none"/>
                <w:lang w:val="en-US" w:eastAsia="zh-CN" w:bidi="ar"/>
              </w:rPr>
              <w:t>碘伏:有效碘含量范围/(g/L）:2-10；符合《含碘消毒剂卫生要求（GB/T26368-2020）》《皮肤消毒剂通用要求（GB27951-2021）》的要求。</w:t>
            </w:r>
          </w:p>
        </w:tc>
        <w:tc>
          <w:tcPr>
            <w:tcW w:w="1622" w:type="dxa"/>
            <w:shd w:val="clear" w:color="auto" w:fill="auto"/>
            <w:vAlign w:val="center"/>
          </w:tcPr>
          <w:p w14:paraId="44B5AC39">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2.1元/瓶</w:t>
            </w:r>
          </w:p>
        </w:tc>
        <w:tc>
          <w:tcPr>
            <w:tcW w:w="1218" w:type="dxa"/>
            <w:shd w:val="clear" w:color="auto" w:fill="auto"/>
            <w:vAlign w:val="center"/>
          </w:tcPr>
          <w:p w14:paraId="35861EA3">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45.14%</w:t>
            </w:r>
          </w:p>
        </w:tc>
      </w:tr>
      <w:tr w14:paraId="21618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4CA1625A">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2</w:t>
            </w:r>
          </w:p>
        </w:tc>
        <w:tc>
          <w:tcPr>
            <w:tcW w:w="1413" w:type="dxa"/>
            <w:vAlign w:val="center"/>
          </w:tcPr>
          <w:p w14:paraId="474A9FD6">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4067" w:type="dxa"/>
            <w:vAlign w:val="top"/>
          </w:tcPr>
          <w:p w14:paraId="2DBE5184">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葡萄糖酸氯己定乙醇溶液浓度&gt;0.5%，乙醇含量60%以上；葡萄糖酸氯己定含量2g/L-45g/L;符合《胍类消毒剂卫生要求（GB/T26367-2020）》《皮肤消毒剂通用要求(GB27951-2021)》的要求。</w:t>
            </w:r>
          </w:p>
        </w:tc>
        <w:tc>
          <w:tcPr>
            <w:tcW w:w="1622" w:type="dxa"/>
            <w:shd w:val="clear" w:color="auto" w:fill="auto"/>
            <w:vAlign w:val="center"/>
          </w:tcPr>
          <w:p w14:paraId="3D766E90">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3.0元/瓶</w:t>
            </w:r>
          </w:p>
        </w:tc>
        <w:tc>
          <w:tcPr>
            <w:tcW w:w="1218" w:type="dxa"/>
            <w:shd w:val="clear" w:color="auto" w:fill="auto"/>
            <w:vAlign w:val="center"/>
          </w:tcPr>
          <w:p w14:paraId="73D9DFA5">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1.29%</w:t>
            </w:r>
          </w:p>
        </w:tc>
      </w:tr>
      <w:tr w14:paraId="108E1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2C288352">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3</w:t>
            </w:r>
          </w:p>
        </w:tc>
        <w:tc>
          <w:tcPr>
            <w:tcW w:w="1413" w:type="dxa"/>
            <w:vAlign w:val="center"/>
          </w:tcPr>
          <w:p w14:paraId="3F539C52">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19E5BF36">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乙醇含量不低于60％（体积分数）或52％（质量分数）；有效成分含量的±10％应符合标识量。符合《醇类消毒剂卫生要求（GB/T26373-2020）》《皮肤消毒剂通用要求（GB27951-2021）》的要求。</w:t>
            </w:r>
          </w:p>
        </w:tc>
        <w:tc>
          <w:tcPr>
            <w:tcW w:w="1622" w:type="dxa"/>
            <w:shd w:val="clear" w:color="auto" w:fill="auto"/>
            <w:vAlign w:val="center"/>
          </w:tcPr>
          <w:p w14:paraId="3579846F">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1.68元/瓶</w:t>
            </w:r>
          </w:p>
        </w:tc>
        <w:tc>
          <w:tcPr>
            <w:tcW w:w="1218" w:type="dxa"/>
            <w:shd w:val="clear" w:color="auto" w:fill="auto"/>
            <w:vAlign w:val="center"/>
          </w:tcPr>
          <w:p w14:paraId="011ACBF7">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14.45%</w:t>
            </w:r>
          </w:p>
        </w:tc>
      </w:tr>
      <w:tr w14:paraId="6EEA7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4B018059">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4</w:t>
            </w:r>
          </w:p>
        </w:tc>
        <w:tc>
          <w:tcPr>
            <w:tcW w:w="1413" w:type="dxa"/>
            <w:vAlign w:val="center"/>
          </w:tcPr>
          <w:p w14:paraId="42BF381B">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3071C849">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color w:val="000000"/>
                <w:kern w:val="0"/>
                <w:sz w:val="22"/>
                <w:szCs w:val="22"/>
                <w:u w:val="none"/>
                <w:lang w:val="en-US" w:eastAsia="zh-CN" w:bidi="ar"/>
              </w:rPr>
              <w:t>乙醇含量不低于60％（体积分数）或52％（质量分数）；有效成分含量的±10％应符合标识量。符合《醇类消毒剂卫生要求（GB/T26373-2020）》《皮肤消毒剂通用要求（GB27951-2021）》的要求。</w:t>
            </w:r>
          </w:p>
        </w:tc>
        <w:tc>
          <w:tcPr>
            <w:tcW w:w="1622" w:type="dxa"/>
            <w:shd w:val="clear" w:color="auto" w:fill="auto"/>
            <w:vAlign w:val="center"/>
          </w:tcPr>
          <w:p w14:paraId="34320755">
            <w:pPr>
              <w:jc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sz w:val="22"/>
                <w:szCs w:val="22"/>
                <w:u w:val="none"/>
                <w:lang w:val="en-US" w:eastAsia="zh-CN"/>
              </w:rPr>
              <w:t>4.2元/瓶</w:t>
            </w:r>
          </w:p>
        </w:tc>
        <w:tc>
          <w:tcPr>
            <w:tcW w:w="1218" w:type="dxa"/>
            <w:shd w:val="clear" w:color="auto" w:fill="auto"/>
            <w:vAlign w:val="center"/>
          </w:tcPr>
          <w:p w14:paraId="29C54059">
            <w:pPr>
              <w:widowControl/>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39.12%</w:t>
            </w:r>
          </w:p>
        </w:tc>
      </w:tr>
    </w:tbl>
    <w:p w14:paraId="7D4FE877">
      <w:pPr>
        <w:pStyle w:val="8"/>
        <w:jc w:val="left"/>
        <w:rPr>
          <w:rFonts w:hint="eastAsia" w:ascii="仿宋" w:hAnsi="仿宋" w:eastAsia="仿宋" w:cs="仿宋"/>
        </w:rPr>
      </w:pPr>
    </w:p>
    <w:p w14:paraId="450E593A">
      <w:pPr>
        <w:pStyle w:val="8"/>
        <w:spacing w:line="240" w:lineRule="exact"/>
        <w:jc w:val="left"/>
        <w:outlineLvl w:val="9"/>
        <w:rPr>
          <w:rFonts w:hint="eastAsia" w:ascii="仿宋" w:hAnsi="仿宋" w:eastAsia="仿宋" w:cs="仿宋"/>
          <w:b/>
          <w:bCs w:val="0"/>
          <w:sz w:val="28"/>
          <w:szCs w:val="20"/>
        </w:rPr>
      </w:pPr>
    </w:p>
    <w:p w14:paraId="6F64C154">
      <w:pPr>
        <w:pStyle w:val="8"/>
        <w:spacing w:line="240" w:lineRule="auto"/>
        <w:jc w:val="left"/>
        <w:outlineLvl w:val="1"/>
        <w:rPr>
          <w:rFonts w:hint="eastAsia" w:ascii="仿宋" w:hAnsi="仿宋" w:eastAsia="仿宋" w:cs="仿宋"/>
          <w:b/>
          <w:bCs w:val="0"/>
          <w:sz w:val="28"/>
          <w:szCs w:val="20"/>
        </w:rPr>
      </w:pPr>
      <w:r>
        <w:rPr>
          <w:rFonts w:hint="eastAsia" w:ascii="仿宋" w:hAnsi="仿宋" w:eastAsia="仿宋" w:cs="仿宋"/>
          <w:b/>
          <w:bCs w:val="0"/>
          <w:sz w:val="28"/>
          <w:szCs w:val="20"/>
        </w:rPr>
        <w:t>★</w:t>
      </w:r>
      <w:r>
        <w:rPr>
          <w:rFonts w:hint="eastAsia" w:ascii="仿宋" w:hAnsi="仿宋" w:eastAsia="仿宋" w:cs="仿宋"/>
          <w:b/>
          <w:bCs w:val="0"/>
          <w:sz w:val="28"/>
          <w:szCs w:val="20"/>
          <w:lang w:val="en-US" w:eastAsia="zh-CN"/>
        </w:rPr>
        <w:t>3.3</w:t>
      </w:r>
      <w:r>
        <w:rPr>
          <w:rFonts w:hint="eastAsia" w:ascii="仿宋" w:hAnsi="仿宋" w:eastAsia="仿宋" w:cs="仿宋"/>
          <w:b/>
          <w:bCs w:val="0"/>
          <w:color w:val="000000"/>
          <w:sz w:val="28"/>
          <w:szCs w:val="20"/>
        </w:rPr>
        <w:t>商务要求</w:t>
      </w:r>
    </w:p>
    <w:p w14:paraId="27C827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5884B0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（1）交货期：每次配送时间必须严格按照采购人配送通知执行，中标人应于收到通知后2小时内响应。急用产品的配送时间不应超过4小时，一般产品原则上的配送时间不应超过2个工作日。</w:t>
      </w:r>
    </w:p>
    <w:p w14:paraId="77BC71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（2）交货地点：内江市第一人民医院指定地点。</w:t>
      </w:r>
    </w:p>
    <w:p w14:paraId="1F232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26478D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4E2DB4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2FDA24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3.产品质量保证</w:t>
      </w:r>
    </w:p>
    <w:p w14:paraId="373C3E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（1）中标人须提供原厂生产的未曾使用过的、全新的合格的货品（含配套配件等），表面无划伤、无破损痕迹，且权属清楚，不得侵害他人的合法权利。</w:t>
      </w:r>
    </w:p>
    <w:p w14:paraId="1B4CF7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62CAA5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lang w:val="en-US" w:eastAsia="zh-Hans"/>
        </w:rPr>
        <w:t>中标人还应</w:t>
      </w:r>
      <w:r>
        <w:rPr>
          <w:rFonts w:hint="eastAsia" w:ascii="仿宋" w:hAnsi="仿宋" w:eastAsia="仿宋" w:cs="仿宋"/>
          <w:color w:val="000000"/>
          <w:sz w:val="24"/>
          <w:szCs w:val="24"/>
        </w:rPr>
        <w:t>负责赔偿</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由此而遭受的全部损失。</w:t>
      </w:r>
    </w:p>
    <w:p w14:paraId="35A2FD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（4）中标人保证其提供货品的安全可靠性。在正常使用下不应对使用者造成任何人身伤害，如因产品质量或标示不明确而对使用者造成损失的，由中标人承担相应责任。</w:t>
      </w:r>
    </w:p>
    <w:p w14:paraId="348AB5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690C28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（6）中标人保证所供产品有效期不低于</w:t>
      </w:r>
      <w:r>
        <w:rPr>
          <w:rFonts w:hint="eastAsia" w:ascii="仿宋" w:hAnsi="仿宋" w:eastAsia="仿宋" w:cs="仿宋"/>
          <w:color w:val="000000"/>
          <w:sz w:val="24"/>
          <w:szCs w:val="24"/>
          <w:highlight w:val="none"/>
          <w:lang w:val="en-US" w:eastAsia="zh-CN"/>
        </w:rPr>
        <w:t>1年</w:t>
      </w:r>
      <w:r>
        <w:rPr>
          <w:rFonts w:hint="eastAsia" w:ascii="仿宋" w:hAnsi="仿宋" w:eastAsia="仿宋" w:cs="仿宋"/>
          <w:color w:val="000000"/>
          <w:sz w:val="24"/>
          <w:szCs w:val="24"/>
          <w:lang w:val="en-US" w:eastAsia="zh-CN"/>
        </w:rPr>
        <w:t>，自通过最终验收之日起，确保采购人在使用产品的过程中安全、有效。</w:t>
      </w:r>
    </w:p>
    <w:p w14:paraId="235C0E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4.验收</w:t>
      </w:r>
    </w:p>
    <w:p w14:paraId="58AD92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BDE0F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4472AD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5E8C7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（4）其他未尽事宜严格按照《财政部关于进一步加强政府采购需求和履约验收管理的指导意见》（财库〔2016〕205号）的要求进行。</w:t>
      </w:r>
    </w:p>
    <w:p w14:paraId="75A46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5.售后服务</w:t>
      </w:r>
    </w:p>
    <w:p w14:paraId="604894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0460BC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（2）要求中标人指派专人负责与采购人联系售后服务事宜；在投标文件中列明售后联系人及联系电话。</w:t>
      </w:r>
    </w:p>
    <w:p w14:paraId="1ABF50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i w:val="0"/>
          <w:iCs w:val="0"/>
          <w:caps w:val="0"/>
          <w:color w:val="0A82E5"/>
          <w:spacing w:val="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kern w:val="0"/>
          <w:sz w:val="24"/>
          <w:szCs w:val="24"/>
          <w:highlight w:val="none"/>
          <w:lang w:val="en-US" w:eastAsia="zh-CN" w:bidi="zh-CN"/>
        </w:rPr>
        <w:t>产品临近失效期，采购人提前三</w:t>
      </w:r>
      <w:r>
        <w:rPr>
          <w:rFonts w:hint="eastAsia" w:ascii="仿宋" w:hAnsi="仿宋" w:eastAsia="仿宋" w:cs="仿宋"/>
          <w:color w:val="000000"/>
          <w:sz w:val="24"/>
          <w:szCs w:val="24"/>
          <w:lang w:val="en-US" w:eastAsia="zh-CN"/>
        </w:rPr>
        <w:t>个月向中标人提出更换，中标人须在产品失效前一个月更换完毕，不得以任何理由进行推诿。</w:t>
      </w:r>
    </w:p>
    <w:p w14:paraId="12077D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（4）中标人必须随货提供其具备有关合法有效的手续（包括但不限于）：</w:t>
      </w:r>
    </w:p>
    <w:p w14:paraId="757B9D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a.产品在证件所批的生产（经营）许可范围内;</w:t>
      </w:r>
    </w:p>
    <w:p w14:paraId="3E33535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b.各级授权书的内容齐全，包括授权销售产品范围、销售地域范围及有效时间、法人签名;</w:t>
      </w:r>
    </w:p>
    <w:p w14:paraId="6AC3CD72">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c.《消毒产品生产企业卫生许可证》;</w:t>
      </w:r>
    </w:p>
    <w:p w14:paraId="67B9D538">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d 新消毒产品（生产、进口利用新材料、新工艺技术和新杀菌原理生产消毒剂和消毒器械）应提供卫生许可批件;</w:t>
      </w:r>
    </w:p>
    <w:p w14:paraId="7A25F365">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0BA8197C">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f.消毒产品标签和说明书符合《消毒产品标签说明书通用要求》(GB 38598-2020)的规定;</w:t>
      </w:r>
    </w:p>
    <w:p w14:paraId="7062B2FF">
      <w:pPr>
        <w:pStyle w:val="3"/>
        <w:spacing w:line="240" w:lineRule="auto"/>
        <w:ind w:firstLine="240" w:firstLineChars="100"/>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g.每配送一个批次的消毒产品需提供该批次的质检报告，且质检报告的批号应与配送产品一致。</w:t>
      </w:r>
    </w:p>
    <w:p w14:paraId="7D704D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08A217D9">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（1）成交投标人须严格按照《商品包装政府采购需求标准(试行)》、《快递包装政府采购需 求标准(试行)》(财办库〔2020〕123 号)的要求进行产品及相关快递服务的包装。 </w:t>
      </w:r>
    </w:p>
    <w:p w14:paraId="0ACF361C">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7DA8AA15">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（3）本次采购的标的物需要运输，投标人在合同约定的时间内将标的物运输至合同约定地点。</w:t>
      </w:r>
    </w:p>
    <w:p w14:paraId="1F86175E">
      <w:pPr>
        <w:numPr>
          <w:ilvl w:val="0"/>
          <w:numId w:val="0"/>
        </w:numPr>
        <w:spacing w:line="240" w:lineRule="exact"/>
        <w:ind w:firstLine="420"/>
        <w:rPr>
          <w:rFonts w:hint="eastAsia" w:ascii="仿宋" w:hAnsi="仿宋" w:eastAsia="仿宋" w:cs="仿宋"/>
          <w:b/>
          <w:bCs w:val="0"/>
          <w:sz w:val="28"/>
          <w:szCs w:val="20"/>
          <w:lang w:val="en-US" w:eastAsia="zh-CN"/>
        </w:rPr>
      </w:pPr>
    </w:p>
    <w:p w14:paraId="4DC978BC">
      <w:pPr>
        <w:ind w:firstLine="420" w:firstLineChars="0"/>
        <w:rPr>
          <w:rFonts w:hint="eastAsia" w:ascii="仿宋" w:hAnsi="仿宋" w:eastAsia="仿宋" w:cs="仿宋"/>
          <w:b/>
          <w:bCs/>
          <w:color w:val="000000"/>
          <w:sz w:val="24"/>
        </w:rPr>
      </w:pPr>
      <w:r>
        <w:rPr>
          <w:rFonts w:hint="eastAsia" w:ascii="仿宋" w:hAnsi="仿宋" w:eastAsia="仿宋" w:cs="仿宋"/>
          <w:b/>
          <w:bCs/>
          <w:color w:val="000000"/>
          <w:sz w:val="24"/>
          <w:lang w:val="en-US" w:eastAsia="zh-CN"/>
        </w:rPr>
        <w:t>7.</w:t>
      </w:r>
      <w:r>
        <w:rPr>
          <w:rFonts w:hint="eastAsia" w:ascii="仿宋" w:hAnsi="仿宋" w:eastAsia="仿宋" w:cs="仿宋"/>
          <w:b/>
          <w:bCs/>
          <w:color w:val="000000"/>
          <w:sz w:val="24"/>
        </w:rPr>
        <w:t>违约责任与解决争议的方法：</w:t>
      </w:r>
    </w:p>
    <w:p w14:paraId="4D3F2F52">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lang w:eastAsia="zh-CN"/>
        </w:rPr>
      </w:pPr>
      <w:r>
        <w:rPr>
          <w:rFonts w:hint="eastAsia" w:ascii="仿宋" w:hAnsi="仿宋" w:eastAsia="仿宋" w:cs="仿宋"/>
          <w:sz w:val="24"/>
          <w:lang w:eastAsia="zh-CN"/>
        </w:rPr>
        <w:t>一、</w:t>
      </w:r>
      <w:r>
        <w:rPr>
          <w:rFonts w:hint="eastAsia" w:ascii="仿宋" w:hAnsi="仿宋" w:eastAsia="仿宋" w:cs="仿宋"/>
          <w:sz w:val="24"/>
        </w:rPr>
        <w:t>违约责任</w:t>
      </w:r>
    </w:p>
    <w:p w14:paraId="1C648160">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7D32E8CF">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6B64BFAE">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3249D0B2">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4、中标人供应的消毒产品质量不符合要求，造成采购人被卫生行政主管部门处罚或造成采购人与患者（或第三方）之间产生纠纷等情形，或造成采购人损失的，由中标人承担采购人的全部损失。</w:t>
      </w:r>
    </w:p>
    <w:p w14:paraId="290C75CC">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二、</w:t>
      </w:r>
      <w:r>
        <w:rPr>
          <w:rFonts w:hint="eastAsia" w:ascii="仿宋" w:hAnsi="仿宋" w:eastAsia="仿宋" w:cs="仿宋"/>
          <w:sz w:val="24"/>
        </w:rPr>
        <w:t>不可抗力</w:t>
      </w:r>
    </w:p>
    <w:p w14:paraId="21BE13F8">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1、本条所述的“不可抗力”是指受影响方无法控制、不可预见的事件，包括战争、严重火灾、洪水、台风、地震及其他双方认可的事件，不包括故意违约或疏忽。</w:t>
      </w:r>
    </w:p>
    <w:p w14:paraId="7A394100">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2、任何一方因不可抗力事件导致合同迟延履行或者不能履行的，不承担违约责任。</w:t>
      </w:r>
    </w:p>
    <w:p w14:paraId="199881AA">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3、在不可抗力事件发生后，遭遇不可抗力的一方应尽快以书面形式将不可抗力的情况和原因通知对方，除对方同意外，在不可抗力情形消除后应继续履行合同义务。</w:t>
      </w:r>
    </w:p>
    <w:p w14:paraId="722DC0B1">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三</w:t>
      </w:r>
      <w:r>
        <w:rPr>
          <w:rFonts w:hint="eastAsia" w:ascii="仿宋" w:hAnsi="仿宋" w:eastAsia="仿宋" w:cs="仿宋"/>
          <w:sz w:val="24"/>
        </w:rPr>
        <w:t>、解决争议的方法</w:t>
      </w:r>
    </w:p>
    <w:p w14:paraId="2DBF044C">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1．因消毒产品质量问题发生争议，由卫生行政管理部门或其指定的质量鉴定机构进行质量鉴定。消毒产品符合标准的，鉴定费由采购人承担；消毒产不符合质量标准的，鉴定费由中标人承担。</w:t>
      </w:r>
    </w:p>
    <w:p w14:paraId="666903AA">
      <w:pPr>
        <w:numPr>
          <w:ilvl w:val="-1"/>
          <w:numId w:val="0"/>
        </w:numPr>
        <w:spacing w:line="240" w:lineRule="exact"/>
        <w:ind w:firstLine="480" w:firstLineChars="200"/>
        <w:rPr>
          <w:rFonts w:hint="default" w:ascii="仿宋" w:hAnsi="仿宋" w:eastAsia="仿宋" w:cs="仿宋"/>
          <w:b/>
          <w:bCs/>
          <w:color w:val="000000"/>
          <w:sz w:val="22"/>
          <w:szCs w:val="22"/>
          <w:lang w:val="en-US" w:eastAsia="zh-CN"/>
        </w:rPr>
      </w:pPr>
      <w:r>
        <w:rPr>
          <w:rFonts w:hint="eastAsia" w:ascii="仿宋" w:hAnsi="仿宋" w:eastAsia="仿宋" w:cs="仿宋"/>
          <w:sz w:val="24"/>
        </w:rPr>
        <w:t>2．合同履行期间，若双方发生争议，可协商或由有关部门调解解决，协商或调解不成的，任何一方均可向采购人住所地人民法院提起诉讼解决。</w:t>
      </w:r>
    </w:p>
    <w:p w14:paraId="7035B4D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B257C01"/>
    <w:rsid w:val="312E4E5B"/>
    <w:rsid w:val="368372FD"/>
    <w:rsid w:val="3BBD2F44"/>
    <w:rsid w:val="3E441D93"/>
    <w:rsid w:val="51E53A6D"/>
    <w:rsid w:val="6B3117C7"/>
    <w:rsid w:val="714A1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Body Text Indent 2"/>
    <w:basedOn w:val="1"/>
    <w:qFormat/>
    <w:uiPriority w:val="0"/>
    <w:pPr>
      <w:spacing w:after="120" w:line="480" w:lineRule="auto"/>
      <w:ind w:left="420" w:leftChars="200"/>
    </w:p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ull3"/>
    <w:hidden/>
    <w:qFormat/>
    <w:uiPriority w:val="0"/>
    <w:rPr>
      <w:rFonts w:hint="eastAsia" w:asciiTheme="minorHAnsi" w:hAnsiTheme="minorHAnsi" w:eastAsiaTheme="minorEastAsia" w:cstheme="minorBidi"/>
      <w:lang w:val="en-US" w:eastAsia="zh-Hans"/>
    </w:rPr>
  </w:style>
  <w:style w:type="paragraph" w:customStyle="1" w:styleId="9">
    <w:name w:val="Table Paragraph"/>
    <w:basedOn w:val="1"/>
    <w:qFormat/>
    <w:uiPriority w:val="99"/>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3407</Words>
  <Characters>3678</Characters>
  <Lines>0</Lines>
  <Paragraphs>0</Paragraphs>
  <TotalTime>0</TotalTime>
  <ScaleCrop>false</ScaleCrop>
  <LinksUpToDate>false</LinksUpToDate>
  <CharactersWithSpaces>3686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2025-03-26T10:57:56Z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eyJoZGlkIjoiYjg3OWU5NzJjOTNjN2NiYTliYzlhMzgzYWFjMmQ3MjQiLCJ1c2VySWQiOiI0ODI5Njk1NDgifQ==</vt:lpwstr>
  </property>
  <property fmtid="{D5CDD505-2E9C-101B-9397-08002B2CF9AE}" pid="4" name="ICV">
    <vt:lpwstr>C5B7C8CBB9774CFEB3B6A5951A74B4A9_12</vt:lpwstr>
  </property>
</Properties>
</file>