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C83C0">
      <w:pPr>
        <w:pStyle w:val="8"/>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59EEF74B">
      <w:pPr>
        <w:pStyle w:val="8"/>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7546EA99">
      <w:pPr>
        <w:pStyle w:val="8"/>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3FD71BE0">
      <w:pPr>
        <w:pStyle w:val="8"/>
        <w:jc w:val="left"/>
        <w:outlineLvl w:val="9"/>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p w14:paraId="6AE84C1B">
      <w:pPr>
        <w:pStyle w:val="8"/>
        <w:jc w:val="left"/>
        <w:outlineLvl w:val="9"/>
        <w:rPr>
          <w:rFonts w:hint="eastAsia" w:ascii="仿宋" w:hAnsi="仿宋" w:eastAsia="仿宋" w:cs="仿宋"/>
          <w:b/>
          <w:bCs/>
          <w:i w:val="0"/>
          <w:iCs w:val="0"/>
          <w:sz w:val="24"/>
          <w:szCs w:val="24"/>
        </w:rPr>
      </w:pPr>
    </w:p>
    <w:tbl>
      <w:tblPr>
        <w:tblStyle w:val="5"/>
        <w:tblW w:w="878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71"/>
        <w:gridCol w:w="601"/>
        <w:gridCol w:w="2704"/>
        <w:gridCol w:w="1574"/>
        <w:gridCol w:w="1567"/>
        <w:gridCol w:w="1770"/>
      </w:tblGrid>
      <w:tr w14:paraId="54879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325" w:type="pct"/>
            <w:vAlign w:val="center"/>
          </w:tcPr>
          <w:p w14:paraId="37A4399C">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包号</w:t>
            </w:r>
          </w:p>
        </w:tc>
        <w:tc>
          <w:tcPr>
            <w:tcW w:w="342" w:type="pct"/>
            <w:vAlign w:val="center"/>
          </w:tcPr>
          <w:p w14:paraId="4FB4782E">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编号</w:t>
            </w:r>
          </w:p>
        </w:tc>
        <w:tc>
          <w:tcPr>
            <w:tcW w:w="1538" w:type="pct"/>
            <w:vAlign w:val="center"/>
          </w:tcPr>
          <w:p w14:paraId="0A316A5D">
            <w:pPr>
              <w:pStyle w:val="8"/>
              <w:jc w:val="center"/>
              <w:rPr>
                <w:rFonts w:hint="eastAsia" w:ascii="仿宋" w:hAnsi="仿宋" w:eastAsia="仿宋" w:cs="仿宋"/>
                <w:sz w:val="24"/>
                <w:szCs w:val="24"/>
                <w:lang w:val="en-US" w:eastAsia="zh-CN"/>
              </w:rPr>
            </w:pPr>
            <w:r>
              <w:rPr>
                <w:rFonts w:hint="eastAsia" w:ascii="仿宋" w:hAnsi="仿宋" w:eastAsia="仿宋" w:cs="仿宋"/>
                <w:spacing w:val="-1"/>
                <w:sz w:val="24"/>
                <w:szCs w:val="22"/>
                <w:lang w:val="en-US" w:eastAsia="zh-CN" w:bidi="zh-CN"/>
              </w:rPr>
              <w:t>★</w:t>
            </w:r>
            <w:r>
              <w:rPr>
                <w:rFonts w:hint="eastAsia" w:ascii="仿宋" w:hAnsi="仿宋" w:eastAsia="仿宋" w:cs="仿宋"/>
                <w:sz w:val="24"/>
                <w:szCs w:val="24"/>
                <w:lang w:val="en-US" w:eastAsia="zh-CN"/>
              </w:rPr>
              <w:t>通用名</w:t>
            </w:r>
          </w:p>
        </w:tc>
        <w:tc>
          <w:tcPr>
            <w:tcW w:w="895" w:type="pct"/>
            <w:vAlign w:val="center"/>
          </w:tcPr>
          <w:p w14:paraId="42F44E10">
            <w:pPr>
              <w:spacing w:line="400" w:lineRule="exact"/>
              <w:jc w:val="center"/>
              <w:rPr>
                <w:rFonts w:hint="eastAsia" w:ascii="仿宋" w:hAnsi="仿宋" w:eastAsia="仿宋" w:cs="仿宋"/>
                <w:sz w:val="24"/>
                <w:szCs w:val="24"/>
                <w:lang w:val="en-US" w:eastAsia="zh-CN"/>
              </w:rPr>
            </w:pPr>
            <w:r>
              <w:rPr>
                <w:rFonts w:hint="eastAsia" w:ascii="Times New Roman" w:hAnsi="Times New Roman" w:eastAsia="仿宋"/>
                <w:b w:val="0"/>
                <w:bCs w:val="0"/>
                <w:sz w:val="24"/>
                <w:szCs w:val="24"/>
                <w:lang w:eastAsia="zh-Hans"/>
              </w:rPr>
              <w:t>预计数量</w:t>
            </w:r>
          </w:p>
        </w:tc>
        <w:tc>
          <w:tcPr>
            <w:tcW w:w="891" w:type="pct"/>
            <w:vAlign w:val="center"/>
          </w:tcPr>
          <w:p w14:paraId="0370AB6E">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规格★</w:t>
            </w:r>
          </w:p>
        </w:tc>
        <w:tc>
          <w:tcPr>
            <w:tcW w:w="1006" w:type="pct"/>
            <w:vAlign w:val="center"/>
          </w:tcPr>
          <w:p w14:paraId="2D86AABC">
            <w:pPr>
              <w:spacing w:line="400" w:lineRule="exact"/>
              <w:jc w:val="center"/>
              <w:rPr>
                <w:rFonts w:hint="eastAsia" w:ascii="仿宋" w:hAnsi="仿宋" w:eastAsia="仿宋" w:cs="仿宋"/>
                <w:sz w:val="24"/>
                <w:lang w:val="en-US" w:eastAsia="zh-CN"/>
              </w:rPr>
            </w:pPr>
            <w:r>
              <w:rPr>
                <w:rFonts w:hint="eastAsia" w:ascii="Times New Roman" w:hAnsi="Times New Roman" w:eastAsia="仿宋"/>
                <w:b w:val="0"/>
                <w:bCs w:val="0"/>
                <w:sz w:val="24"/>
                <w:szCs w:val="24"/>
              </w:rPr>
              <w:t>预算金额/最高限价（</w:t>
            </w:r>
            <w:r>
              <w:rPr>
                <w:rFonts w:ascii="Times New Roman" w:hAnsi="Times New Roman" w:eastAsia="仿宋"/>
                <w:b w:val="0"/>
                <w:bCs w:val="0"/>
                <w:sz w:val="24"/>
                <w:szCs w:val="24"/>
              </w:rPr>
              <w:t>元</w:t>
            </w:r>
            <w:r>
              <w:rPr>
                <w:rFonts w:hint="eastAsia" w:ascii="Times New Roman" w:hAnsi="Times New Roman" w:eastAsia="仿宋"/>
                <w:b w:val="0"/>
                <w:bCs w:val="0"/>
                <w:sz w:val="24"/>
                <w:szCs w:val="24"/>
              </w:rPr>
              <w:t>）</w:t>
            </w:r>
          </w:p>
        </w:tc>
      </w:tr>
      <w:tr w14:paraId="15254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25" w:type="pct"/>
            <w:vMerge w:val="restart"/>
            <w:vAlign w:val="center"/>
          </w:tcPr>
          <w:p w14:paraId="333A063D">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42" w:type="pct"/>
            <w:vAlign w:val="center"/>
          </w:tcPr>
          <w:p w14:paraId="2907B31C">
            <w:pPr>
              <w:pStyle w:val="8"/>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538" w:type="pct"/>
            <w:vAlign w:val="center"/>
          </w:tcPr>
          <w:p w14:paraId="2148143E">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i w:val="0"/>
                <w:kern w:val="2"/>
                <w:sz w:val="24"/>
                <w:szCs w:val="24"/>
                <w:u w:val="none"/>
                <w:lang w:val="en-US" w:eastAsia="zh-CN" w:bidi="ar"/>
              </w:rPr>
              <w:t>复合碘消毒液</w:t>
            </w:r>
          </w:p>
        </w:tc>
        <w:tc>
          <w:tcPr>
            <w:tcW w:w="895" w:type="pct"/>
            <w:vAlign w:val="center"/>
          </w:tcPr>
          <w:p w14:paraId="6C94A99A">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29B4495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default" w:ascii="Times New Roman" w:hAnsi="Times New Roman" w:eastAsia="宋体" w:cs="Times New Roman"/>
                <w:i w:val="0"/>
                <w:color w:val="000000"/>
                <w:kern w:val="0"/>
                <w:sz w:val="24"/>
                <w:szCs w:val="24"/>
                <w:u w:val="none"/>
                <w:lang w:val="en-US" w:eastAsia="zh-CN" w:bidi="ar"/>
              </w:rPr>
              <w:t>40-60ml</w:t>
            </w:r>
          </w:p>
        </w:tc>
        <w:tc>
          <w:tcPr>
            <w:tcW w:w="1006" w:type="pct"/>
            <w:vAlign w:val="center"/>
          </w:tcPr>
          <w:p w14:paraId="544C45C1">
            <w:pPr>
              <w:spacing w:line="400" w:lineRule="exact"/>
              <w:jc w:val="center"/>
              <w:rPr>
                <w:rFonts w:hint="eastAsia" w:ascii="仿宋" w:hAnsi="仿宋" w:eastAsia="仿宋" w:cs="仿宋"/>
                <w:sz w:val="24"/>
                <w:szCs w:val="24"/>
                <w:lang w:val="en-US" w:eastAsia="zh-CN"/>
              </w:rPr>
            </w:pPr>
            <w:r>
              <w:rPr>
                <w:rFonts w:hint="eastAsia" w:eastAsia="仿宋"/>
                <w:b w:val="0"/>
                <w:bCs w:val="0"/>
                <w:sz w:val="24"/>
                <w:szCs w:val="24"/>
                <w:lang w:eastAsia="zh-CN"/>
              </w:rPr>
              <w:t>据实结算</w:t>
            </w:r>
          </w:p>
        </w:tc>
      </w:tr>
      <w:tr w14:paraId="097DC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25" w:type="pct"/>
            <w:vMerge w:val="continue"/>
            <w:vAlign w:val="center"/>
          </w:tcPr>
          <w:p w14:paraId="40D25133">
            <w:pPr>
              <w:pStyle w:val="8"/>
              <w:jc w:val="center"/>
              <w:rPr>
                <w:rFonts w:hint="eastAsia" w:ascii="仿宋" w:hAnsi="仿宋" w:eastAsia="仿宋" w:cs="仿宋"/>
                <w:sz w:val="24"/>
                <w:szCs w:val="24"/>
                <w:lang w:val="en-US" w:eastAsia="zh-CN"/>
              </w:rPr>
            </w:pPr>
          </w:p>
        </w:tc>
        <w:tc>
          <w:tcPr>
            <w:tcW w:w="342" w:type="pct"/>
            <w:vAlign w:val="center"/>
          </w:tcPr>
          <w:p w14:paraId="0CF78362">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538" w:type="pct"/>
            <w:vAlign w:val="center"/>
          </w:tcPr>
          <w:p w14:paraId="2E1C83C4">
            <w:pPr>
              <w:keepNext w:val="0"/>
              <w:keepLines w:val="0"/>
              <w:widowControl/>
              <w:suppressLineNumbers w:val="0"/>
              <w:jc w:val="center"/>
              <w:textAlignment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i w:val="0"/>
                <w:kern w:val="2"/>
                <w:sz w:val="24"/>
                <w:szCs w:val="24"/>
                <w:u w:val="none"/>
                <w:lang w:val="en-US" w:eastAsia="zh-CN" w:bidi="ar"/>
              </w:rPr>
              <w:t>2%葡萄糖酸氯己定醇皮肤消毒液</w:t>
            </w:r>
          </w:p>
        </w:tc>
        <w:tc>
          <w:tcPr>
            <w:tcW w:w="895" w:type="pct"/>
            <w:vAlign w:val="center"/>
          </w:tcPr>
          <w:p w14:paraId="629F824B">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7859791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default" w:ascii="Times New Roman" w:hAnsi="Times New Roman" w:eastAsia="宋体" w:cs="Times New Roman"/>
                <w:i w:val="0"/>
                <w:color w:val="000000"/>
                <w:kern w:val="0"/>
                <w:sz w:val="24"/>
                <w:szCs w:val="24"/>
                <w:u w:val="none"/>
                <w:lang w:val="en-US" w:eastAsia="zh-CN" w:bidi="ar"/>
              </w:rPr>
              <w:t>40-60ml</w:t>
            </w:r>
          </w:p>
        </w:tc>
        <w:tc>
          <w:tcPr>
            <w:tcW w:w="1006" w:type="pct"/>
            <w:vAlign w:val="center"/>
          </w:tcPr>
          <w:p w14:paraId="2126C4C8">
            <w:pPr>
              <w:spacing w:line="400" w:lineRule="exact"/>
              <w:jc w:val="center"/>
              <w:rPr>
                <w:rFonts w:hint="eastAsia" w:ascii="仿宋" w:hAnsi="仿宋" w:eastAsia="仿宋" w:cs="仿宋"/>
                <w:sz w:val="24"/>
                <w:szCs w:val="24"/>
                <w:lang w:val="en-US" w:eastAsia="zh-CN"/>
              </w:rPr>
            </w:pPr>
            <w:r>
              <w:rPr>
                <w:rFonts w:hint="eastAsia" w:eastAsia="仿宋"/>
                <w:b w:val="0"/>
                <w:bCs w:val="0"/>
                <w:sz w:val="24"/>
                <w:szCs w:val="24"/>
                <w:lang w:eastAsia="zh-CN"/>
              </w:rPr>
              <w:t>据实结算</w:t>
            </w:r>
          </w:p>
        </w:tc>
      </w:tr>
      <w:tr w14:paraId="46BF12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25" w:type="pct"/>
            <w:vMerge w:val="continue"/>
            <w:vAlign w:val="center"/>
          </w:tcPr>
          <w:p w14:paraId="70DD8F65">
            <w:pPr>
              <w:pStyle w:val="8"/>
              <w:jc w:val="center"/>
              <w:rPr>
                <w:rFonts w:hint="eastAsia" w:ascii="仿宋" w:hAnsi="仿宋" w:eastAsia="仿宋" w:cs="仿宋"/>
                <w:sz w:val="24"/>
                <w:szCs w:val="24"/>
                <w:lang w:val="en-US" w:eastAsia="zh-CN"/>
              </w:rPr>
            </w:pPr>
          </w:p>
        </w:tc>
        <w:tc>
          <w:tcPr>
            <w:tcW w:w="342" w:type="pct"/>
            <w:vAlign w:val="center"/>
          </w:tcPr>
          <w:p w14:paraId="7AE3E2B1">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538" w:type="pct"/>
            <w:vAlign w:val="center"/>
          </w:tcPr>
          <w:p w14:paraId="016EDB9D">
            <w:pPr>
              <w:keepNext w:val="0"/>
              <w:keepLines w:val="0"/>
              <w:widowControl/>
              <w:suppressLineNumbers w:val="0"/>
              <w:jc w:val="center"/>
              <w:textAlignment w:val="center"/>
              <w:rPr>
                <w:rFonts w:hint="eastAsia" w:ascii="Times New Roman" w:hAnsi="Times New Roman" w:eastAsia="仿宋" w:cs="Times New Roman"/>
                <w:b w:val="0"/>
                <w:bCs w:val="0"/>
                <w:sz w:val="24"/>
                <w:szCs w:val="24"/>
                <w:shd w:val="clear"/>
                <w:lang w:val="en-US" w:eastAsia="zh-CN"/>
              </w:rPr>
            </w:pPr>
            <w:r>
              <w:rPr>
                <w:rFonts w:hint="eastAsia" w:ascii="Times New Roman" w:hAnsi="Times New Roman" w:eastAsia="仿宋" w:cs="Times New Roman"/>
                <w:i w:val="0"/>
                <w:kern w:val="2"/>
                <w:sz w:val="24"/>
                <w:szCs w:val="24"/>
                <w:u w:val="none"/>
                <w:lang w:val="en-US" w:eastAsia="zh-CN" w:bidi="ar"/>
              </w:rPr>
              <w:t>75%酒精消毒液</w:t>
            </w:r>
          </w:p>
        </w:tc>
        <w:tc>
          <w:tcPr>
            <w:tcW w:w="895" w:type="pct"/>
            <w:vAlign w:val="center"/>
          </w:tcPr>
          <w:p w14:paraId="2E5B2796">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75B0DD9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default" w:ascii="Times New Roman" w:hAnsi="Times New Roman" w:eastAsia="宋体" w:cs="Times New Roman"/>
                <w:i w:val="0"/>
                <w:color w:val="000000"/>
                <w:kern w:val="0"/>
                <w:sz w:val="24"/>
                <w:szCs w:val="24"/>
                <w:u w:val="none"/>
                <w:lang w:val="en-US" w:eastAsia="zh-CN" w:bidi="ar"/>
              </w:rPr>
              <w:t>40-60ml</w:t>
            </w:r>
          </w:p>
        </w:tc>
        <w:tc>
          <w:tcPr>
            <w:tcW w:w="1006" w:type="pct"/>
            <w:vAlign w:val="center"/>
          </w:tcPr>
          <w:p w14:paraId="6F3D8918">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eastAsia="仿宋"/>
                <w:b w:val="0"/>
                <w:bCs w:val="0"/>
                <w:sz w:val="24"/>
                <w:szCs w:val="24"/>
                <w:lang w:eastAsia="zh-CN"/>
              </w:rPr>
              <w:t>据实结算</w:t>
            </w:r>
          </w:p>
        </w:tc>
      </w:tr>
      <w:tr w14:paraId="5D864A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7" w:hRule="atLeast"/>
          <w:jc w:val="center"/>
        </w:trPr>
        <w:tc>
          <w:tcPr>
            <w:tcW w:w="325" w:type="pct"/>
            <w:vMerge w:val="continue"/>
            <w:vAlign w:val="center"/>
          </w:tcPr>
          <w:p w14:paraId="5D473A22">
            <w:pPr>
              <w:pStyle w:val="8"/>
              <w:jc w:val="center"/>
              <w:rPr>
                <w:rFonts w:hint="eastAsia" w:ascii="仿宋" w:hAnsi="仿宋" w:eastAsia="仿宋" w:cs="仿宋"/>
                <w:sz w:val="24"/>
                <w:szCs w:val="24"/>
                <w:lang w:val="en-US" w:eastAsia="zh-CN"/>
              </w:rPr>
            </w:pPr>
          </w:p>
        </w:tc>
        <w:tc>
          <w:tcPr>
            <w:tcW w:w="342" w:type="pct"/>
            <w:vAlign w:val="center"/>
          </w:tcPr>
          <w:p w14:paraId="488C593C">
            <w:pPr>
              <w:pStyle w:val="8"/>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538" w:type="pct"/>
            <w:vAlign w:val="center"/>
          </w:tcPr>
          <w:p w14:paraId="43D4303E">
            <w:pPr>
              <w:keepNext w:val="0"/>
              <w:keepLines w:val="0"/>
              <w:widowControl/>
              <w:suppressLineNumbers w:val="0"/>
              <w:jc w:val="center"/>
              <w:textAlignment w:val="center"/>
              <w:rPr>
                <w:rFonts w:hint="eastAsia" w:ascii="Times New Roman" w:hAnsi="Times New Roman" w:eastAsia="仿宋" w:cs="Times New Roman"/>
                <w:b w:val="0"/>
                <w:bCs w:val="0"/>
                <w:sz w:val="24"/>
                <w:szCs w:val="24"/>
                <w:shd w:val="clear"/>
                <w:lang w:val="en-US" w:eastAsia="zh-CN"/>
              </w:rPr>
            </w:pPr>
            <w:r>
              <w:rPr>
                <w:rFonts w:hint="eastAsia" w:ascii="Times New Roman" w:hAnsi="Times New Roman" w:eastAsia="仿宋" w:cs="Times New Roman"/>
                <w:i w:val="0"/>
                <w:kern w:val="2"/>
                <w:sz w:val="24"/>
                <w:szCs w:val="24"/>
                <w:u w:val="none"/>
                <w:lang w:val="en-US" w:eastAsia="zh-CN" w:bidi="ar"/>
              </w:rPr>
              <w:t>75%酒精消毒液</w:t>
            </w:r>
          </w:p>
        </w:tc>
        <w:tc>
          <w:tcPr>
            <w:tcW w:w="895" w:type="pct"/>
            <w:vAlign w:val="center"/>
          </w:tcPr>
          <w:p w14:paraId="0E8535E6">
            <w:pPr>
              <w:widowControl/>
              <w:spacing w:line="240" w:lineRule="auto"/>
              <w:jc w:val="center"/>
              <w:textAlignment w:val="center"/>
              <w:rPr>
                <w:rFonts w:hint="eastAsia" w:ascii="Times New Roman" w:hAnsi="Times New Roman" w:eastAsia="仿宋" w:cs="Times New Roman"/>
                <w:kern w:val="2"/>
                <w:sz w:val="24"/>
                <w:szCs w:val="24"/>
                <w:lang w:bidi="ar"/>
              </w:rPr>
            </w:pPr>
            <w:r>
              <w:rPr>
                <w:rFonts w:hint="eastAsia" w:ascii="Times New Roman" w:hAnsi="Times New Roman" w:eastAsia="仿宋"/>
                <w:b w:val="0"/>
                <w:bCs w:val="0"/>
                <w:sz w:val="24"/>
                <w:szCs w:val="24"/>
              </w:rPr>
              <w:t>按需求</w:t>
            </w:r>
          </w:p>
        </w:tc>
        <w:tc>
          <w:tcPr>
            <w:tcW w:w="891" w:type="pct"/>
            <w:vAlign w:val="center"/>
          </w:tcPr>
          <w:p w14:paraId="0B036A9F">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default" w:ascii="Times New Roman" w:hAnsi="Times New Roman" w:eastAsia="宋体" w:cs="Times New Roman"/>
                <w:i w:val="0"/>
                <w:color w:val="000000"/>
                <w:kern w:val="0"/>
                <w:sz w:val="24"/>
                <w:szCs w:val="24"/>
                <w:u w:val="none"/>
                <w:lang w:val="en-US" w:eastAsia="zh-CN" w:bidi="ar"/>
              </w:rPr>
              <w:t>500ml</w:t>
            </w:r>
          </w:p>
        </w:tc>
        <w:tc>
          <w:tcPr>
            <w:tcW w:w="1006" w:type="pct"/>
            <w:vAlign w:val="center"/>
          </w:tcPr>
          <w:p w14:paraId="6EF8DFF9">
            <w:pPr>
              <w:spacing w:line="400" w:lineRule="exact"/>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eastAsia="仿宋"/>
                <w:b w:val="0"/>
                <w:bCs w:val="0"/>
                <w:sz w:val="24"/>
                <w:szCs w:val="24"/>
                <w:lang w:eastAsia="zh-CN"/>
              </w:rPr>
              <w:t>据实结算</w:t>
            </w:r>
          </w:p>
        </w:tc>
      </w:tr>
    </w:tbl>
    <w:p w14:paraId="502A167E">
      <w:pPr>
        <w:pStyle w:val="8"/>
        <w:ind w:firstLine="480"/>
        <w:jc w:val="left"/>
        <w:rPr>
          <w:rFonts w:hint="eastAsia" w:ascii="仿宋" w:hAnsi="仿宋" w:eastAsia="仿宋" w:cs="仿宋"/>
        </w:rPr>
      </w:pPr>
    </w:p>
    <w:p w14:paraId="47600CCA">
      <w:pPr>
        <w:pStyle w:val="8"/>
        <w:jc w:val="left"/>
        <w:outlineLvl w:val="1"/>
        <w:rPr>
          <w:rFonts w:hint="eastAsia" w:ascii="仿宋" w:hAnsi="仿宋" w:eastAsia="仿宋" w:cs="仿宋"/>
          <w:lang w:eastAsia="zh-CN"/>
        </w:rPr>
      </w:pPr>
      <w:r>
        <w:rPr>
          <w:rFonts w:hint="eastAsia" w:ascii="仿宋" w:hAnsi="仿宋" w:eastAsia="仿宋" w:cs="仿宋"/>
          <w:b/>
          <w:sz w:val="28"/>
        </w:rPr>
        <w:t>3.2.技术要求</w:t>
      </w:r>
    </w:p>
    <w:p w14:paraId="03A546A4">
      <w:pPr>
        <w:pStyle w:val="8"/>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5"/>
        <w:tblW w:w="878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67"/>
        <w:gridCol w:w="1413"/>
        <w:gridCol w:w="4067"/>
        <w:gridCol w:w="1622"/>
        <w:gridCol w:w="1218"/>
      </w:tblGrid>
      <w:tr w14:paraId="2926F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jc w:val="center"/>
        </w:trPr>
        <w:tc>
          <w:tcPr>
            <w:tcW w:w="467" w:type="dxa"/>
            <w:vAlign w:val="center"/>
          </w:tcPr>
          <w:p w14:paraId="4F5BC61C">
            <w:pPr>
              <w:textAlignment w:val="center"/>
              <w:rPr>
                <w:rFonts w:hint="eastAsia" w:ascii="Times New Roman" w:hAnsi="Times New Roman" w:eastAsia="仿宋" w:cs="Times New Roman"/>
                <w:sz w:val="24"/>
                <w:u w:val="none"/>
                <w:lang w:bidi="ar"/>
              </w:rPr>
            </w:pPr>
            <w:r>
              <w:rPr>
                <w:rFonts w:hint="eastAsia" w:ascii="Times New Roman" w:hAnsi="Times New Roman" w:eastAsia="仿宋" w:cs="Times New Roman"/>
                <w:sz w:val="24"/>
                <w:u w:val="none"/>
                <w:lang w:bidi="ar"/>
              </w:rPr>
              <w:t>序号</w:t>
            </w:r>
          </w:p>
        </w:tc>
        <w:tc>
          <w:tcPr>
            <w:tcW w:w="1413" w:type="dxa"/>
            <w:vAlign w:val="center"/>
          </w:tcPr>
          <w:p w14:paraId="41901147">
            <w:pPr>
              <w:textAlignment w:val="center"/>
              <w:rPr>
                <w:rFonts w:hint="eastAsia" w:ascii="Times New Roman" w:hAnsi="Times New Roman" w:eastAsia="仿宋" w:cs="Times New Roman"/>
                <w:sz w:val="24"/>
                <w:u w:val="none"/>
                <w:lang w:bidi="ar"/>
              </w:rPr>
            </w:pPr>
            <w:r>
              <w:rPr>
                <w:rFonts w:hint="eastAsia" w:ascii="Times New Roman" w:hAnsi="Times New Roman" w:eastAsia="仿宋" w:cs="Times New Roman"/>
                <w:sz w:val="24"/>
                <w:u w:val="none"/>
                <w:lang w:val="en-US" w:eastAsia="zh-CN" w:bidi="ar"/>
              </w:rPr>
              <w:t>★通用名</w:t>
            </w:r>
          </w:p>
        </w:tc>
        <w:tc>
          <w:tcPr>
            <w:tcW w:w="4067" w:type="dxa"/>
            <w:vAlign w:val="center"/>
          </w:tcPr>
          <w:p w14:paraId="6E6E0615">
            <w:pPr>
              <w:ind w:firstLine="1904" w:firstLineChars="800"/>
              <w:textAlignment w:val="center"/>
              <w:rPr>
                <w:rFonts w:hint="eastAsia" w:ascii="Times New Roman" w:hAnsi="Times New Roman" w:eastAsia="仿宋" w:cs="Times New Roman"/>
                <w:sz w:val="24"/>
                <w:u w:val="none"/>
                <w:lang w:bidi="ar"/>
              </w:rPr>
            </w:pPr>
            <w:r>
              <w:rPr>
                <w:rFonts w:hint="eastAsia" w:ascii="仿宋" w:hAnsi="仿宋" w:eastAsia="仿宋" w:cs="仿宋"/>
                <w:spacing w:val="-1"/>
                <w:sz w:val="24"/>
                <w:szCs w:val="22"/>
                <w:lang w:val="zh-CN" w:eastAsia="zh-CN" w:bidi="zh-CN"/>
              </w:rPr>
              <w:t>参数</w:t>
            </w:r>
            <w:r>
              <w:rPr>
                <w:rFonts w:hint="eastAsia" w:ascii="仿宋" w:hAnsi="仿宋" w:eastAsia="仿宋" w:cs="仿宋"/>
                <w:spacing w:val="-1"/>
                <w:sz w:val="24"/>
                <w:szCs w:val="22"/>
                <w:lang w:val="en-US" w:eastAsia="zh-CN" w:bidi="zh-CN"/>
              </w:rPr>
              <w:t>★</w:t>
            </w:r>
          </w:p>
        </w:tc>
        <w:tc>
          <w:tcPr>
            <w:tcW w:w="1622" w:type="dxa"/>
            <w:shd w:val="clear" w:color="auto" w:fill="auto"/>
            <w:vAlign w:val="center"/>
          </w:tcPr>
          <w:p w14:paraId="247DA9EC">
            <w:pPr>
              <w:jc w:val="center"/>
              <w:textAlignment w:val="center"/>
              <w:rPr>
                <w:rFonts w:hint="eastAsia" w:ascii="Times New Roman" w:hAnsi="Times New Roman" w:eastAsia="仿宋" w:cs="Times New Roman"/>
                <w:kern w:val="2"/>
                <w:sz w:val="24"/>
                <w:szCs w:val="24"/>
                <w:u w:val="none"/>
                <w:lang w:val="zh-CN" w:eastAsia="zh-CN" w:bidi="ar"/>
              </w:rPr>
            </w:pPr>
            <w:r>
              <w:rPr>
                <w:rFonts w:hint="eastAsia" w:ascii="仿宋" w:hAnsi="仿宋" w:eastAsia="仿宋" w:cs="仿宋"/>
                <w:sz w:val="24"/>
                <w:lang w:val="en-US" w:eastAsia="zh-CN"/>
              </w:rPr>
              <w:t>★</w:t>
            </w:r>
            <w:r>
              <w:rPr>
                <w:rFonts w:ascii="Times New Roman" w:hAnsi="Times New Roman" w:eastAsia="仿宋"/>
                <w:b w:val="0"/>
                <w:bCs w:val="0"/>
                <w:sz w:val="24"/>
                <w:szCs w:val="24"/>
              </w:rPr>
              <w:t>单价</w:t>
            </w:r>
            <w:r>
              <w:rPr>
                <w:rFonts w:hint="eastAsia" w:ascii="Times New Roman" w:hAnsi="Times New Roman" w:eastAsia="仿宋"/>
                <w:b w:val="0"/>
                <w:bCs w:val="0"/>
                <w:sz w:val="24"/>
                <w:szCs w:val="24"/>
                <w:lang w:val="en-US" w:eastAsia="zh-Hans"/>
              </w:rPr>
              <w:t>最高限价</w:t>
            </w:r>
            <w:r>
              <w:rPr>
                <w:rFonts w:hint="eastAsia" w:ascii="Times New Roman" w:hAnsi="Times New Roman" w:eastAsia="仿宋"/>
                <w:b w:val="0"/>
                <w:bCs w:val="0"/>
                <w:sz w:val="24"/>
                <w:szCs w:val="24"/>
              </w:rPr>
              <w:t>（</w:t>
            </w:r>
            <w:r>
              <w:rPr>
                <w:rFonts w:ascii="Times New Roman" w:hAnsi="Times New Roman" w:eastAsia="仿宋"/>
                <w:b w:val="0"/>
                <w:bCs w:val="0"/>
                <w:sz w:val="24"/>
                <w:szCs w:val="24"/>
              </w:rPr>
              <w:t>元</w:t>
            </w:r>
            <w:r>
              <w:rPr>
                <w:rFonts w:hint="eastAsia" w:ascii="Times New Roman" w:hAnsi="Times New Roman" w:eastAsia="仿宋"/>
                <w:b w:val="0"/>
                <w:bCs w:val="0"/>
                <w:sz w:val="24"/>
                <w:szCs w:val="24"/>
              </w:rPr>
              <w:t>）</w:t>
            </w:r>
          </w:p>
        </w:tc>
        <w:tc>
          <w:tcPr>
            <w:tcW w:w="1218" w:type="dxa"/>
            <w:shd w:val="clear" w:color="auto" w:fill="auto"/>
            <w:vAlign w:val="center"/>
          </w:tcPr>
          <w:p w14:paraId="6271EF4D">
            <w:pPr>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价格权重</w:t>
            </w:r>
          </w:p>
        </w:tc>
      </w:tr>
      <w:tr w14:paraId="5F55A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467" w:type="dxa"/>
            <w:vAlign w:val="center"/>
          </w:tcPr>
          <w:p w14:paraId="735D1CBC">
            <w:pPr>
              <w:textAlignment w:val="center"/>
              <w:rPr>
                <w:rFonts w:hint="eastAsia" w:ascii="Times New Roman" w:hAnsi="Times New Roman" w:eastAsia="仿宋" w:cs="Times New Roman"/>
                <w:sz w:val="24"/>
                <w:szCs w:val="24"/>
                <w:u w:val="none"/>
                <w:lang w:bidi="ar"/>
              </w:rPr>
            </w:pPr>
            <w:r>
              <w:rPr>
                <w:rFonts w:hint="eastAsia" w:ascii="Times New Roman" w:hAnsi="Times New Roman" w:eastAsia="仿宋" w:cs="Times New Roman"/>
                <w:sz w:val="24"/>
                <w:szCs w:val="24"/>
                <w:u w:val="none"/>
                <w:lang w:val="en-US" w:eastAsia="zh-CN" w:bidi="ar"/>
              </w:rPr>
              <w:t>1</w:t>
            </w:r>
          </w:p>
        </w:tc>
        <w:tc>
          <w:tcPr>
            <w:tcW w:w="1413" w:type="dxa"/>
            <w:vAlign w:val="center"/>
          </w:tcPr>
          <w:p w14:paraId="47DA695E">
            <w:pPr>
              <w:keepNext w:val="0"/>
              <w:keepLines w:val="0"/>
              <w:widowControl/>
              <w:suppressLineNumbers w:val="0"/>
              <w:jc w:val="center"/>
              <w:textAlignment w:val="center"/>
              <w:rPr>
                <w:rFonts w:hint="eastAsia" w:ascii="Times New Roman" w:hAnsi="Times New Roman" w:eastAsia="仿宋" w:cs="Times New Roman"/>
                <w:sz w:val="24"/>
                <w:szCs w:val="24"/>
                <w:u w:val="none"/>
                <w:lang w:val="en-US" w:bidi="ar"/>
              </w:rPr>
            </w:pPr>
            <w:r>
              <w:rPr>
                <w:rFonts w:hint="eastAsia" w:ascii="Times New Roman" w:hAnsi="Times New Roman" w:eastAsia="仿宋" w:cs="Times New Roman"/>
                <w:i w:val="0"/>
                <w:kern w:val="2"/>
                <w:sz w:val="24"/>
                <w:szCs w:val="24"/>
                <w:u w:val="none"/>
                <w:lang w:val="en-US" w:eastAsia="zh-CN" w:bidi="ar"/>
              </w:rPr>
              <w:t>复合碘消毒液</w:t>
            </w:r>
          </w:p>
        </w:tc>
        <w:tc>
          <w:tcPr>
            <w:tcW w:w="4067" w:type="dxa"/>
            <w:vAlign w:val="top"/>
          </w:tcPr>
          <w:p w14:paraId="056787DA">
            <w:pPr>
              <w:keepNext w:val="0"/>
              <w:keepLines w:val="0"/>
              <w:widowControl/>
              <w:suppressLineNumbers w:val="0"/>
              <w:jc w:val="both"/>
              <w:textAlignment w:val="center"/>
              <w:rPr>
                <w:rFonts w:hint="default" w:ascii="方正仿宋_GB2312" w:hAnsi="方正仿宋_GB2312" w:eastAsia="方正仿宋_GB2312" w:cs="方正仿宋_GB2312"/>
                <w:i w:val="0"/>
                <w:color w:val="000000"/>
                <w:kern w:val="0"/>
                <w:sz w:val="22"/>
                <w:szCs w:val="22"/>
                <w:u w:val="none"/>
                <w:lang w:val="en-US" w:eastAsia="zh-CN" w:bidi="ar"/>
              </w:rPr>
            </w:pPr>
            <w:r>
              <w:rPr>
                <w:rFonts w:hint="default" w:ascii="方正仿宋_GB2312" w:hAnsi="方正仿宋_GB2312" w:eastAsia="方正仿宋_GB2312" w:cs="方正仿宋_GB2312"/>
                <w:i w:val="0"/>
                <w:color w:val="000000"/>
                <w:kern w:val="0"/>
                <w:sz w:val="22"/>
                <w:szCs w:val="22"/>
                <w:u w:val="none"/>
                <w:lang w:val="en-US" w:eastAsia="zh-CN" w:bidi="ar"/>
              </w:rPr>
              <w:t>若为有效成分为碘酊的，需满足有效碘含量范围/(g/L）:18-22；乙醇含量范围%:45-55；</w:t>
            </w:r>
          </w:p>
          <w:p w14:paraId="34FAD327">
            <w:pPr>
              <w:keepNext w:val="0"/>
              <w:keepLines w:val="0"/>
              <w:widowControl/>
              <w:suppressLineNumbers w:val="0"/>
              <w:jc w:val="both"/>
              <w:textAlignment w:val="center"/>
              <w:rPr>
                <w:rFonts w:hint="eastAsia" w:ascii="Times New Roman" w:hAnsi="Times New Roman" w:eastAsia="仿宋" w:cs="Times New Roman"/>
                <w:sz w:val="24"/>
                <w:szCs w:val="24"/>
                <w:u w:val="none"/>
                <w:lang w:bidi="ar"/>
              </w:rPr>
            </w:pPr>
            <w:r>
              <w:rPr>
                <w:rFonts w:hint="default" w:ascii="方正仿宋_GB2312" w:hAnsi="方正仿宋_GB2312" w:eastAsia="方正仿宋_GB2312" w:cs="方正仿宋_GB2312"/>
                <w:i w:val="0"/>
                <w:color w:val="000000"/>
                <w:kern w:val="0"/>
                <w:sz w:val="22"/>
                <w:szCs w:val="22"/>
                <w:u w:val="none"/>
                <w:lang w:val="en-US" w:eastAsia="zh-CN" w:bidi="ar"/>
              </w:rPr>
              <w:t>若有效成分为碘伏的，需满足:有效碘含量范围/(g/L）:2-10；符合《含碘消毒剂卫生要求（GB/T26368-2020）》《皮肤消毒剂通用要求（GB27951-2021）》的要求。</w:t>
            </w:r>
            <w:bookmarkStart w:id="1" w:name="_GoBack"/>
            <w:bookmarkEnd w:id="1"/>
          </w:p>
        </w:tc>
        <w:tc>
          <w:tcPr>
            <w:tcW w:w="1622" w:type="dxa"/>
            <w:shd w:val="clear" w:color="auto" w:fill="auto"/>
            <w:vAlign w:val="center"/>
          </w:tcPr>
          <w:p w14:paraId="44B5AC39">
            <w:pPr>
              <w:keepNext w:val="0"/>
              <w:keepLines w:val="0"/>
              <w:widowControl/>
              <w:suppressLineNumbers w:val="0"/>
              <w:jc w:val="center"/>
              <w:textAlignment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kern w:val="0"/>
                <w:sz w:val="22"/>
                <w:szCs w:val="22"/>
                <w:u w:val="none"/>
                <w:lang w:val="en-US" w:eastAsia="zh-CN" w:bidi="ar"/>
              </w:rPr>
              <w:t>2.1元/瓶</w:t>
            </w:r>
          </w:p>
        </w:tc>
        <w:tc>
          <w:tcPr>
            <w:tcW w:w="1218" w:type="dxa"/>
            <w:shd w:val="clear" w:color="auto" w:fill="auto"/>
            <w:vAlign w:val="center"/>
          </w:tcPr>
          <w:p w14:paraId="35861EA3">
            <w:pPr>
              <w:keepNext w:val="0"/>
              <w:keepLines w:val="0"/>
              <w:widowControl/>
              <w:suppressLineNumbers w:val="0"/>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45.14%</w:t>
            </w:r>
          </w:p>
        </w:tc>
      </w:tr>
      <w:tr w14:paraId="21618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467" w:type="dxa"/>
            <w:vAlign w:val="center"/>
          </w:tcPr>
          <w:p w14:paraId="4CA1625A">
            <w:pP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sz w:val="24"/>
                <w:szCs w:val="24"/>
                <w:u w:val="none"/>
                <w:lang w:val="en-US" w:eastAsia="zh-CN" w:bidi="ar"/>
              </w:rPr>
              <w:t>2</w:t>
            </w:r>
          </w:p>
        </w:tc>
        <w:tc>
          <w:tcPr>
            <w:tcW w:w="1413" w:type="dxa"/>
            <w:vAlign w:val="center"/>
          </w:tcPr>
          <w:p w14:paraId="474A9FD6">
            <w:pPr>
              <w:keepNext w:val="0"/>
              <w:keepLines w:val="0"/>
              <w:widowControl/>
              <w:suppressLineNumbers w:val="0"/>
              <w:jc w:val="cente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i w:val="0"/>
                <w:kern w:val="2"/>
                <w:sz w:val="24"/>
                <w:szCs w:val="24"/>
                <w:u w:val="none"/>
                <w:lang w:val="en-US" w:eastAsia="zh-CN" w:bidi="ar"/>
              </w:rPr>
              <w:t>2%葡萄糖酸氯己定醇皮肤消毒液</w:t>
            </w:r>
          </w:p>
        </w:tc>
        <w:tc>
          <w:tcPr>
            <w:tcW w:w="4067" w:type="dxa"/>
            <w:vAlign w:val="top"/>
          </w:tcPr>
          <w:p w14:paraId="2DBE5184">
            <w:pPr>
              <w:keepNext w:val="0"/>
              <w:keepLines w:val="0"/>
              <w:widowControl/>
              <w:suppressLineNumbers w:val="0"/>
              <w:jc w:val="both"/>
              <w:textAlignment w:val="center"/>
              <w:rPr>
                <w:rFonts w:hint="eastAsia" w:ascii="Times New Roman" w:hAnsi="Times New Roman" w:eastAsia="仿宋" w:cs="Times New Roman"/>
                <w:sz w:val="24"/>
                <w:szCs w:val="24"/>
                <w:u w:val="none"/>
                <w:lang w:val="en-US" w:eastAsia="zh-CN" w:bidi="ar"/>
              </w:rPr>
            </w:pPr>
            <w:r>
              <w:rPr>
                <w:rFonts w:hint="default" w:ascii="方正仿宋_GB2312" w:hAnsi="方正仿宋_GB2312" w:eastAsia="方正仿宋_GB2312" w:cs="方正仿宋_GB2312"/>
                <w:i w:val="0"/>
                <w:color w:val="000000"/>
                <w:kern w:val="0"/>
                <w:sz w:val="22"/>
                <w:szCs w:val="22"/>
                <w:u w:val="none"/>
                <w:lang w:val="en-US" w:eastAsia="zh-CN" w:bidi="ar"/>
              </w:rPr>
              <w:t>葡萄糖酸氯己定乙醇溶液浓度&gt;0.5%，乙醇含量60%以上；葡萄糖酸氯己定含量2g/L-45g/L;符合《胍类消毒剂卫生要求（GB/T26367-2020）》《皮肤消毒剂通用要求(GB27951-2021)》的要求。</w:t>
            </w:r>
          </w:p>
        </w:tc>
        <w:tc>
          <w:tcPr>
            <w:tcW w:w="1622" w:type="dxa"/>
            <w:shd w:val="clear" w:color="auto" w:fill="auto"/>
            <w:vAlign w:val="center"/>
          </w:tcPr>
          <w:p w14:paraId="3D766E90">
            <w:pPr>
              <w:keepNext w:val="0"/>
              <w:keepLines w:val="0"/>
              <w:widowControl/>
              <w:suppressLineNumbers w:val="0"/>
              <w:jc w:val="center"/>
              <w:textAlignment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kern w:val="0"/>
                <w:sz w:val="22"/>
                <w:szCs w:val="22"/>
                <w:u w:val="none"/>
                <w:lang w:val="en-US" w:eastAsia="zh-CN" w:bidi="ar"/>
              </w:rPr>
              <w:t>3.0元/瓶</w:t>
            </w:r>
          </w:p>
        </w:tc>
        <w:tc>
          <w:tcPr>
            <w:tcW w:w="1218" w:type="dxa"/>
            <w:shd w:val="clear" w:color="auto" w:fill="auto"/>
            <w:vAlign w:val="center"/>
          </w:tcPr>
          <w:p w14:paraId="73D9DFA5">
            <w:pPr>
              <w:keepNext w:val="0"/>
              <w:keepLines w:val="0"/>
              <w:widowControl/>
              <w:suppressLineNumbers w:val="0"/>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1.29%</w:t>
            </w:r>
          </w:p>
        </w:tc>
      </w:tr>
      <w:tr w14:paraId="108E16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467" w:type="dxa"/>
            <w:vAlign w:val="center"/>
          </w:tcPr>
          <w:p w14:paraId="2C288352">
            <w:pP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sz w:val="24"/>
                <w:szCs w:val="24"/>
                <w:u w:val="none"/>
                <w:lang w:val="en-US" w:eastAsia="zh-CN" w:bidi="ar"/>
              </w:rPr>
              <w:t>3</w:t>
            </w:r>
          </w:p>
        </w:tc>
        <w:tc>
          <w:tcPr>
            <w:tcW w:w="1413" w:type="dxa"/>
            <w:vAlign w:val="center"/>
          </w:tcPr>
          <w:p w14:paraId="3F539C52">
            <w:pPr>
              <w:keepNext w:val="0"/>
              <w:keepLines w:val="0"/>
              <w:widowControl/>
              <w:suppressLineNumbers w:val="0"/>
              <w:jc w:val="cente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i w:val="0"/>
                <w:kern w:val="2"/>
                <w:sz w:val="24"/>
                <w:szCs w:val="24"/>
                <w:u w:val="none"/>
                <w:lang w:val="en-US" w:eastAsia="zh-CN" w:bidi="ar"/>
              </w:rPr>
              <w:t>75%酒精消毒液</w:t>
            </w:r>
          </w:p>
        </w:tc>
        <w:tc>
          <w:tcPr>
            <w:tcW w:w="4067" w:type="dxa"/>
            <w:vAlign w:val="top"/>
          </w:tcPr>
          <w:p w14:paraId="19E5BF36">
            <w:pPr>
              <w:keepNext w:val="0"/>
              <w:keepLines w:val="0"/>
              <w:widowControl/>
              <w:suppressLineNumbers w:val="0"/>
              <w:jc w:val="both"/>
              <w:textAlignment w:val="center"/>
              <w:rPr>
                <w:rFonts w:hint="eastAsia" w:ascii="Times New Roman" w:hAnsi="Times New Roman" w:eastAsia="仿宋" w:cs="Times New Roman"/>
                <w:sz w:val="24"/>
                <w:szCs w:val="24"/>
                <w:u w:val="none"/>
                <w:lang w:val="en-US" w:eastAsia="zh-CN" w:bidi="ar"/>
              </w:rPr>
            </w:pPr>
            <w:r>
              <w:rPr>
                <w:rFonts w:hint="default" w:ascii="方正仿宋_GB2312" w:hAnsi="方正仿宋_GB2312" w:eastAsia="方正仿宋_GB2312" w:cs="方正仿宋_GB2312"/>
                <w:i w:val="0"/>
                <w:color w:val="000000"/>
                <w:kern w:val="0"/>
                <w:sz w:val="22"/>
                <w:szCs w:val="22"/>
                <w:u w:val="none"/>
                <w:lang w:val="en-US" w:eastAsia="zh-CN" w:bidi="ar"/>
              </w:rPr>
              <w:t>乙醇含量不低于60％（体积分数）或52％（质量分数）；有效成分含量的±10％应符合标识量。符合《醇类消毒剂卫生要求（GB/T26373-2020）》《皮肤消毒剂通用要求（GB27951-2021）》的要求。</w:t>
            </w:r>
          </w:p>
        </w:tc>
        <w:tc>
          <w:tcPr>
            <w:tcW w:w="1622" w:type="dxa"/>
            <w:shd w:val="clear" w:color="auto" w:fill="auto"/>
            <w:vAlign w:val="center"/>
          </w:tcPr>
          <w:p w14:paraId="3579846F">
            <w:pPr>
              <w:keepNext w:val="0"/>
              <w:keepLines w:val="0"/>
              <w:widowControl/>
              <w:suppressLineNumbers w:val="0"/>
              <w:jc w:val="center"/>
              <w:textAlignment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kern w:val="0"/>
                <w:sz w:val="22"/>
                <w:szCs w:val="22"/>
                <w:u w:val="none"/>
                <w:lang w:val="en-US" w:eastAsia="zh-CN" w:bidi="ar"/>
              </w:rPr>
              <w:t>1.68元/瓶</w:t>
            </w:r>
          </w:p>
        </w:tc>
        <w:tc>
          <w:tcPr>
            <w:tcW w:w="1218" w:type="dxa"/>
            <w:shd w:val="clear" w:color="auto" w:fill="auto"/>
            <w:vAlign w:val="center"/>
          </w:tcPr>
          <w:p w14:paraId="011ACBF7">
            <w:pPr>
              <w:keepNext w:val="0"/>
              <w:keepLines w:val="0"/>
              <w:widowControl/>
              <w:suppressLineNumbers w:val="0"/>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14.45%</w:t>
            </w:r>
          </w:p>
        </w:tc>
      </w:tr>
      <w:tr w14:paraId="6EEA7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jc w:val="center"/>
        </w:trPr>
        <w:tc>
          <w:tcPr>
            <w:tcW w:w="467" w:type="dxa"/>
            <w:vAlign w:val="center"/>
          </w:tcPr>
          <w:p w14:paraId="4B018059">
            <w:pP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sz w:val="24"/>
                <w:szCs w:val="24"/>
                <w:u w:val="none"/>
                <w:lang w:val="en-US" w:eastAsia="zh-CN" w:bidi="ar"/>
              </w:rPr>
              <w:t>4</w:t>
            </w:r>
          </w:p>
        </w:tc>
        <w:tc>
          <w:tcPr>
            <w:tcW w:w="1413" w:type="dxa"/>
            <w:vAlign w:val="center"/>
          </w:tcPr>
          <w:p w14:paraId="42BF381B">
            <w:pPr>
              <w:keepNext w:val="0"/>
              <w:keepLines w:val="0"/>
              <w:widowControl/>
              <w:suppressLineNumbers w:val="0"/>
              <w:jc w:val="center"/>
              <w:textAlignment w:val="center"/>
              <w:rPr>
                <w:rFonts w:hint="eastAsia" w:ascii="Times New Roman" w:hAnsi="Times New Roman" w:eastAsia="仿宋" w:cs="Times New Roman"/>
                <w:sz w:val="24"/>
                <w:szCs w:val="24"/>
                <w:u w:val="none"/>
                <w:lang w:val="en-US" w:eastAsia="zh-CN" w:bidi="ar"/>
              </w:rPr>
            </w:pPr>
            <w:r>
              <w:rPr>
                <w:rFonts w:hint="eastAsia" w:ascii="Times New Roman" w:hAnsi="Times New Roman" w:eastAsia="仿宋" w:cs="Times New Roman"/>
                <w:i w:val="0"/>
                <w:kern w:val="2"/>
                <w:sz w:val="24"/>
                <w:szCs w:val="24"/>
                <w:u w:val="none"/>
                <w:lang w:val="en-US" w:eastAsia="zh-CN" w:bidi="ar"/>
              </w:rPr>
              <w:t>75%酒精消毒液</w:t>
            </w:r>
          </w:p>
        </w:tc>
        <w:tc>
          <w:tcPr>
            <w:tcW w:w="4067" w:type="dxa"/>
            <w:vAlign w:val="top"/>
          </w:tcPr>
          <w:p w14:paraId="3071C849">
            <w:pPr>
              <w:keepNext w:val="0"/>
              <w:keepLines w:val="0"/>
              <w:widowControl/>
              <w:suppressLineNumbers w:val="0"/>
              <w:jc w:val="both"/>
              <w:textAlignment w:val="center"/>
              <w:rPr>
                <w:rFonts w:hint="eastAsia" w:ascii="Times New Roman" w:hAnsi="Times New Roman" w:eastAsia="仿宋" w:cs="Times New Roman"/>
                <w:sz w:val="24"/>
                <w:szCs w:val="24"/>
                <w:u w:val="none"/>
                <w:lang w:val="en-US" w:eastAsia="zh-CN" w:bidi="ar"/>
              </w:rPr>
            </w:pPr>
            <w:r>
              <w:rPr>
                <w:rFonts w:hint="default" w:ascii="方正仿宋_GB2312" w:hAnsi="方正仿宋_GB2312" w:eastAsia="方正仿宋_GB2312" w:cs="方正仿宋_GB2312"/>
                <w:color w:val="000000"/>
                <w:kern w:val="0"/>
                <w:sz w:val="22"/>
                <w:szCs w:val="22"/>
                <w:u w:val="none"/>
                <w:lang w:val="en-US" w:eastAsia="zh-CN" w:bidi="ar"/>
              </w:rPr>
              <w:t>乙醇含量不低于60％（体积分数）或52％（质量分数）；有效成分含量的±10％应符合标识量。符合《醇类消毒剂卫生要求（GB/T26373-2020）》《皮肤消毒剂通用要求（GB27951-2021）》的要求。</w:t>
            </w:r>
          </w:p>
        </w:tc>
        <w:tc>
          <w:tcPr>
            <w:tcW w:w="1622" w:type="dxa"/>
            <w:shd w:val="clear" w:color="auto" w:fill="auto"/>
            <w:vAlign w:val="center"/>
          </w:tcPr>
          <w:p w14:paraId="34320755">
            <w:pPr>
              <w:jc w:val="center"/>
              <w:rPr>
                <w:rFonts w:hint="default" w:ascii="Times New Roman" w:hAnsi="Times New Roman" w:eastAsia="仿宋" w:cs="Times New Roman"/>
                <w:kern w:val="2"/>
                <w:sz w:val="24"/>
                <w:szCs w:val="24"/>
                <w:u w:val="none"/>
                <w:lang w:val="en-US" w:eastAsia="zh-CN" w:bidi="ar"/>
              </w:rPr>
            </w:pPr>
            <w:r>
              <w:rPr>
                <w:rFonts w:hint="eastAsia" w:ascii="方正仿宋_GB2312" w:hAnsi="方正仿宋_GB2312" w:eastAsia="方正仿宋_GB2312" w:cs="方正仿宋_GB2312"/>
                <w:i w:val="0"/>
                <w:color w:val="000000"/>
                <w:sz w:val="22"/>
                <w:szCs w:val="22"/>
                <w:u w:val="none"/>
                <w:lang w:val="en-US" w:eastAsia="zh-CN"/>
              </w:rPr>
              <w:t>4.2元/瓶</w:t>
            </w:r>
          </w:p>
        </w:tc>
        <w:tc>
          <w:tcPr>
            <w:tcW w:w="1218" w:type="dxa"/>
            <w:shd w:val="clear" w:color="auto" w:fill="auto"/>
            <w:vAlign w:val="center"/>
          </w:tcPr>
          <w:p w14:paraId="29C54059">
            <w:pPr>
              <w:widowControl/>
              <w:jc w:val="center"/>
              <w:textAlignment w:val="center"/>
              <w:rPr>
                <w:rFonts w:hint="eastAsia" w:ascii="方正仿宋_GB2312" w:hAnsi="方正仿宋_GB2312" w:eastAsia="方正仿宋_GB2312" w:cs="方正仿宋_GB2312"/>
                <w:i w:val="0"/>
                <w:color w:val="000000"/>
                <w:kern w:val="0"/>
                <w:sz w:val="22"/>
                <w:szCs w:val="22"/>
                <w:u w:val="none"/>
                <w:lang w:val="en-US" w:eastAsia="zh-CN" w:bidi="ar"/>
              </w:rPr>
            </w:pPr>
            <w:r>
              <w:rPr>
                <w:rFonts w:hint="eastAsia" w:ascii="方正仿宋_GB2312" w:hAnsi="方正仿宋_GB2312" w:eastAsia="方正仿宋_GB2312" w:cs="方正仿宋_GB2312"/>
                <w:i w:val="0"/>
                <w:iCs w:val="0"/>
                <w:color w:val="000000"/>
                <w:kern w:val="0"/>
                <w:sz w:val="22"/>
                <w:szCs w:val="22"/>
                <w:u w:val="none"/>
                <w:lang w:val="en-US" w:eastAsia="zh-CN" w:bidi="ar"/>
              </w:rPr>
              <w:t>39.12%</w:t>
            </w:r>
          </w:p>
        </w:tc>
      </w:tr>
    </w:tbl>
    <w:p w14:paraId="7D4FE877">
      <w:pPr>
        <w:pStyle w:val="8"/>
        <w:jc w:val="left"/>
        <w:rPr>
          <w:rFonts w:hint="eastAsia" w:ascii="仿宋" w:hAnsi="仿宋" w:eastAsia="仿宋" w:cs="仿宋"/>
        </w:rPr>
      </w:pPr>
    </w:p>
    <w:p w14:paraId="450E593A">
      <w:pPr>
        <w:pStyle w:val="8"/>
        <w:spacing w:line="240" w:lineRule="exact"/>
        <w:jc w:val="left"/>
        <w:outlineLvl w:val="9"/>
        <w:rPr>
          <w:rFonts w:hint="eastAsia" w:ascii="仿宋" w:hAnsi="仿宋" w:eastAsia="仿宋" w:cs="仿宋"/>
          <w:b/>
          <w:bCs w:val="0"/>
          <w:sz w:val="28"/>
          <w:szCs w:val="20"/>
        </w:rPr>
      </w:pPr>
    </w:p>
    <w:p w14:paraId="6F64C154">
      <w:pPr>
        <w:pStyle w:val="8"/>
        <w:spacing w:line="240" w:lineRule="auto"/>
        <w:jc w:val="left"/>
        <w:outlineLvl w:val="1"/>
        <w:rPr>
          <w:rFonts w:hint="eastAsia" w:ascii="仿宋" w:hAnsi="仿宋" w:eastAsia="仿宋" w:cs="仿宋"/>
          <w:b/>
          <w:bCs w:val="0"/>
          <w:sz w:val="28"/>
          <w:szCs w:val="20"/>
        </w:rPr>
      </w:pPr>
      <w:r>
        <w:rPr>
          <w:rFonts w:hint="eastAsia" w:ascii="仿宋" w:hAnsi="仿宋" w:eastAsia="仿宋" w:cs="仿宋"/>
          <w:b/>
          <w:bCs w:val="0"/>
          <w:sz w:val="28"/>
          <w:szCs w:val="20"/>
        </w:rPr>
        <w:t>★</w:t>
      </w:r>
      <w:r>
        <w:rPr>
          <w:rFonts w:hint="eastAsia" w:ascii="仿宋" w:hAnsi="仿宋" w:eastAsia="仿宋" w:cs="仿宋"/>
          <w:b/>
          <w:bCs w:val="0"/>
          <w:sz w:val="28"/>
          <w:szCs w:val="20"/>
          <w:lang w:val="en-US" w:eastAsia="zh-CN"/>
        </w:rPr>
        <w:t>3.3</w:t>
      </w:r>
      <w:r>
        <w:rPr>
          <w:rFonts w:hint="eastAsia" w:ascii="仿宋" w:hAnsi="仿宋" w:eastAsia="仿宋" w:cs="仿宋"/>
          <w:b/>
          <w:bCs w:val="0"/>
          <w:color w:val="000000"/>
          <w:sz w:val="28"/>
          <w:szCs w:val="20"/>
        </w:rPr>
        <w:t>商务要求</w:t>
      </w:r>
    </w:p>
    <w:p w14:paraId="27C827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5884B0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（1）交货期：每次配送时间必须严格按照采购人配送通知执行，中标人应于收到通知后2小时内响应。急用产品的配送时间不应超过4小时，一般产品原则上的配送时间不应超过2个工作日。</w:t>
      </w:r>
    </w:p>
    <w:p w14:paraId="77BC71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（2）交货地点：内江市第一人民医院指定地点。</w:t>
      </w:r>
    </w:p>
    <w:p w14:paraId="1F232C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2.付款方法和条件</w:t>
      </w:r>
    </w:p>
    <w:p w14:paraId="26478D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（1）结算方式：货款按实结算且由双方协商决定。</w:t>
      </w:r>
    </w:p>
    <w:p w14:paraId="4E2DB4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w:t>
      </w:r>
    </w:p>
    <w:p w14:paraId="2FDA24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3.产品质量保证</w:t>
      </w:r>
    </w:p>
    <w:p w14:paraId="373C3E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（1）中标人须提供原厂生产的未曾使用过的、全新的合格的货品（含配套配件等），表面无划伤、无破损痕迹，且权属清楚，不得侵害他人的合法权利。</w:t>
      </w:r>
    </w:p>
    <w:p w14:paraId="1B4CF7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62CAA5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4"/>
          <w:szCs w:val="24"/>
          <w:lang w:val="en-US" w:eastAsia="zh-Hans"/>
        </w:rPr>
        <w:t>中标人还应</w:t>
      </w:r>
      <w:r>
        <w:rPr>
          <w:rFonts w:hint="eastAsia" w:ascii="仿宋" w:hAnsi="仿宋" w:eastAsia="仿宋" w:cs="仿宋"/>
          <w:color w:val="000000"/>
          <w:sz w:val="24"/>
          <w:szCs w:val="24"/>
        </w:rPr>
        <w:t>负责赔偿</w:t>
      </w:r>
      <w:r>
        <w:rPr>
          <w:rFonts w:hint="eastAsia" w:ascii="仿宋" w:hAnsi="仿宋" w:eastAsia="仿宋" w:cs="仿宋"/>
          <w:color w:val="000000"/>
          <w:sz w:val="24"/>
          <w:szCs w:val="24"/>
          <w:lang w:val="en-US" w:eastAsia="zh-CN"/>
        </w:rPr>
        <w:t>采购人</w:t>
      </w:r>
      <w:r>
        <w:rPr>
          <w:rFonts w:hint="eastAsia" w:ascii="仿宋" w:hAnsi="仿宋" w:eastAsia="仿宋" w:cs="仿宋"/>
          <w:color w:val="000000"/>
          <w:sz w:val="24"/>
          <w:szCs w:val="24"/>
        </w:rPr>
        <w:t>由此而遭受的全部损失。</w:t>
      </w:r>
    </w:p>
    <w:p w14:paraId="35A2FD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（4）中标人保证其提供货品的安全可靠性。在正常使用下不应对使用者造成任何人身伤害，如因产品质量或标示不明确而对使用者造成损失的，由中标人承担相应责任。</w:t>
      </w:r>
    </w:p>
    <w:p w14:paraId="348AB5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中标人应保证所供产品原产地真实，产品是全新的、未使用过的，质量符合国家标准（在无国家标准时，符合行业标准），不得以假充真，以次充好，确保临床医疗安全。如出现质量问题，中标人负责按照采购人要求办理退货并承担因产品质量导致的经济和法律责任。送货时，需向采购人提供以下资料：产品送货单、产品合格证明文件（检验报告单）、进口产品需出具中文标签、进口产品需提供中华人民共和国海关进口货物报关单。</w:t>
      </w:r>
    </w:p>
    <w:p w14:paraId="690C28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（6）中标人保证所供产品有效期不低于</w:t>
      </w:r>
      <w:r>
        <w:rPr>
          <w:rFonts w:hint="eastAsia" w:ascii="仿宋" w:hAnsi="仿宋" w:eastAsia="仿宋" w:cs="仿宋"/>
          <w:color w:val="000000"/>
          <w:sz w:val="24"/>
          <w:szCs w:val="24"/>
          <w:highlight w:val="none"/>
          <w:lang w:val="en-US" w:eastAsia="zh-CN"/>
        </w:rPr>
        <w:t>1年</w:t>
      </w:r>
      <w:r>
        <w:rPr>
          <w:rFonts w:hint="eastAsia" w:ascii="仿宋" w:hAnsi="仿宋" w:eastAsia="仿宋" w:cs="仿宋"/>
          <w:color w:val="000000"/>
          <w:sz w:val="24"/>
          <w:szCs w:val="24"/>
          <w:lang w:val="en-US" w:eastAsia="zh-CN"/>
        </w:rPr>
        <w:t>，自通过最终验收之日起，确保采购人在使用产品的过程中安全、有效。</w:t>
      </w:r>
    </w:p>
    <w:p w14:paraId="235C0E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4.验收</w:t>
      </w:r>
    </w:p>
    <w:p w14:paraId="58AD92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0BDE0F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4472AD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05E8C7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（4）其他未尽事宜严格按照《财政部关于进一步加强政府采购需求和履约验收管理的指导意见》（财库〔2016〕205号）的要求进行。</w:t>
      </w:r>
    </w:p>
    <w:p w14:paraId="75A463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5.售后服务</w:t>
      </w:r>
    </w:p>
    <w:p w14:paraId="604894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要求中标人必须严格按照招标文件要求和投标文件中的承诺提供配送服务。如果配送的医用产品规格、包装等信息与中标产品的规格、包装等信息不一致并不同意更换的，或配送的医用产品和中标产品不一致的，采购人有权终止合同。</w:t>
      </w:r>
    </w:p>
    <w:p w14:paraId="0460BC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（2）要求中标人指派专人负责与采购人联系售后服务事宜；在投标文件中列明售后联系人及联系电话。</w:t>
      </w:r>
    </w:p>
    <w:p w14:paraId="1ABF50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i w:val="0"/>
          <w:iCs w:val="0"/>
          <w:caps w:val="0"/>
          <w:color w:val="0A82E5"/>
          <w:spacing w:val="0"/>
          <w:sz w:val="24"/>
          <w:szCs w:val="24"/>
        </w:rPr>
      </w:pPr>
      <w:r>
        <w:rPr>
          <w:rFonts w:hint="eastAsia" w:ascii="仿宋" w:hAnsi="仿宋" w:eastAsia="仿宋" w:cs="仿宋"/>
          <w:color w:val="000000"/>
          <w:sz w:val="24"/>
          <w:szCs w:val="24"/>
          <w:lang w:val="en-US" w:eastAsia="zh-CN"/>
        </w:rPr>
        <w:t>（3）</w:t>
      </w:r>
      <w:r>
        <w:rPr>
          <w:rFonts w:hint="eastAsia" w:ascii="仿宋" w:hAnsi="仿宋" w:eastAsia="仿宋" w:cs="仿宋"/>
          <w:kern w:val="0"/>
          <w:sz w:val="24"/>
          <w:szCs w:val="24"/>
          <w:highlight w:val="none"/>
          <w:lang w:val="en-US" w:eastAsia="zh-CN" w:bidi="zh-CN"/>
        </w:rPr>
        <w:t>产品临近失效期，采购人提前三</w:t>
      </w:r>
      <w:r>
        <w:rPr>
          <w:rFonts w:hint="eastAsia" w:ascii="仿宋" w:hAnsi="仿宋" w:eastAsia="仿宋" w:cs="仿宋"/>
          <w:color w:val="000000"/>
          <w:sz w:val="24"/>
          <w:szCs w:val="24"/>
          <w:lang w:val="en-US" w:eastAsia="zh-CN"/>
        </w:rPr>
        <w:t>个月向中标人提出更换，中标人须在产品失效前一个月更换完毕，不得以任何理由进行推诿。</w:t>
      </w:r>
    </w:p>
    <w:p w14:paraId="12077D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（4）中标人必须随货提供其具备有关合法有效的手续（包括但不限于）：</w:t>
      </w:r>
    </w:p>
    <w:p w14:paraId="757B9D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 w:lineRule="atLeast"/>
        <w:ind w:right="0" w:firstLine="720" w:firstLineChars="300"/>
        <w:jc w:val="left"/>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a.产品在证件所批的生产（经营）许可范围内;</w:t>
      </w:r>
    </w:p>
    <w:p w14:paraId="3E33535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 w:lineRule="atLeast"/>
        <w:ind w:right="0" w:firstLine="720" w:firstLineChars="300"/>
        <w:jc w:val="left"/>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b.各级授权书的内容齐全，包括授权销售产品范围、销售地域范围及有效时间、法人签名;</w:t>
      </w:r>
    </w:p>
    <w:p w14:paraId="6AC3CD72">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c.《消毒产品生产企业卫生许可证》;</w:t>
      </w:r>
    </w:p>
    <w:p w14:paraId="67B9D538">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d 新消毒产品（生产、进口利用新材料、新工艺技术和新杀菌原理生产消毒剂和消毒器械）应提供卫生许可批件;</w:t>
      </w:r>
    </w:p>
    <w:p w14:paraId="7A25F365">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e.卫生安全评价报告，评价报告内容包括产品的基本情况、产品标签（铭牌）、说明书、检验报告结论、企业标准或质量标准、国产产品生产企业卫生许可资质、进口产品生产国（地区）允许生产销售的批文情况。其中，消毒剂、生物指示物、化学指示物、带有灭菌标识的灭菌物品包装物、抗（抑）菌制剂还包括产品配方;</w:t>
      </w:r>
    </w:p>
    <w:p w14:paraId="0BA8197C">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f.消毒产品标签和说明书符合《消毒产品标签说明书通用要求》(GB 38598-2020)的规定;</w:t>
      </w:r>
    </w:p>
    <w:p w14:paraId="7062B2FF">
      <w:pPr>
        <w:pStyle w:val="3"/>
        <w:spacing w:line="240" w:lineRule="auto"/>
        <w:ind w:firstLine="240" w:firstLineChars="100"/>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g.每配送一个批次的消毒产品需提供该批次的质检报告，且质检报告的批号应与配送产品一致。</w:t>
      </w:r>
    </w:p>
    <w:p w14:paraId="7D704D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6.包装和运输 </w:t>
      </w:r>
    </w:p>
    <w:p w14:paraId="08A217D9">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 xml:space="preserve">（1）成交投标人须严格按照《商品包装政府采购需求标准(试行)》、《快递包装政府采购需 求标准(试行)》(财办库〔2020〕123 号)的要求进行产品及相关快递服务的包装。 </w:t>
      </w:r>
    </w:p>
    <w:p w14:paraId="0ACF361C">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7DA8AA15">
      <w:pPr>
        <w:keepNext w:val="0"/>
        <w:keepLines w:val="0"/>
        <w:pageBreakBefore w:val="0"/>
        <w:widowControl/>
        <w:shd w:val="clear" w:color="auto" w:fill="FFFFFF"/>
        <w:tabs>
          <w:tab w:val="left" w:pos="8617"/>
        </w:tabs>
        <w:kinsoku/>
        <w:wordWrap/>
        <w:overflowPunct/>
        <w:topLinePunct w:val="0"/>
        <w:autoSpaceDE/>
        <w:autoSpaceDN/>
        <w:bidi w:val="0"/>
        <w:adjustRightInd/>
        <w:snapToGrid/>
        <w:spacing w:line="240" w:lineRule="auto"/>
        <w:ind w:right="0" w:rightChars="0" w:firstLine="720" w:firstLineChars="300"/>
        <w:jc w:val="left"/>
        <w:textAlignment w:val="auto"/>
        <w:rPr>
          <w:rFonts w:hint="eastAsia" w:ascii="仿宋" w:hAnsi="仿宋" w:eastAsia="仿宋" w:cs="仿宋"/>
          <w:kern w:val="0"/>
          <w:sz w:val="24"/>
          <w:szCs w:val="24"/>
          <w:highlight w:val="none"/>
          <w:lang w:val="en-US" w:eastAsia="zh-CN" w:bidi="zh-CN"/>
        </w:rPr>
      </w:pPr>
      <w:r>
        <w:rPr>
          <w:rFonts w:hint="eastAsia" w:ascii="仿宋" w:hAnsi="仿宋" w:eastAsia="仿宋" w:cs="仿宋"/>
          <w:kern w:val="0"/>
          <w:sz w:val="24"/>
          <w:szCs w:val="24"/>
          <w:highlight w:val="none"/>
          <w:lang w:val="en-US" w:eastAsia="zh-CN" w:bidi="zh-CN"/>
        </w:rPr>
        <w:t>（3）本次采购的标的物需要运输，投标人在合同约定的时间内将标的物运输至合同约定地点。</w:t>
      </w:r>
    </w:p>
    <w:p w14:paraId="1F86175E">
      <w:pPr>
        <w:numPr>
          <w:ilvl w:val="0"/>
          <w:numId w:val="0"/>
        </w:numPr>
        <w:spacing w:line="240" w:lineRule="exact"/>
        <w:ind w:firstLine="420"/>
        <w:rPr>
          <w:rFonts w:hint="eastAsia" w:ascii="仿宋" w:hAnsi="仿宋" w:eastAsia="仿宋" w:cs="仿宋"/>
          <w:b/>
          <w:bCs w:val="0"/>
          <w:sz w:val="28"/>
          <w:szCs w:val="20"/>
          <w:lang w:val="en-US" w:eastAsia="zh-CN"/>
        </w:rPr>
      </w:pPr>
    </w:p>
    <w:p w14:paraId="4DC978BC">
      <w:pPr>
        <w:ind w:firstLine="420" w:firstLineChars="0"/>
        <w:rPr>
          <w:rFonts w:hint="eastAsia" w:ascii="仿宋" w:hAnsi="仿宋" w:eastAsia="仿宋" w:cs="仿宋"/>
          <w:b/>
          <w:bCs/>
          <w:color w:val="000000"/>
          <w:sz w:val="24"/>
        </w:rPr>
      </w:pPr>
      <w:r>
        <w:rPr>
          <w:rFonts w:hint="eastAsia" w:ascii="仿宋" w:hAnsi="仿宋" w:eastAsia="仿宋" w:cs="仿宋"/>
          <w:b/>
          <w:bCs/>
          <w:color w:val="000000"/>
          <w:sz w:val="24"/>
          <w:lang w:val="en-US" w:eastAsia="zh-CN"/>
        </w:rPr>
        <w:t>7.</w:t>
      </w:r>
      <w:r>
        <w:rPr>
          <w:rFonts w:hint="eastAsia" w:ascii="仿宋" w:hAnsi="仿宋" w:eastAsia="仿宋" w:cs="仿宋"/>
          <w:b/>
          <w:bCs/>
          <w:color w:val="000000"/>
          <w:sz w:val="24"/>
        </w:rPr>
        <w:t>违约责任与解决争议的方法：</w:t>
      </w:r>
    </w:p>
    <w:p w14:paraId="4D3F2F52">
      <w:pPr>
        <w:pStyle w:val="9"/>
        <w:numPr>
          <w:ilvl w:val="0"/>
          <w:numId w:val="0"/>
        </w:numPr>
        <w:tabs>
          <w:tab w:val="left" w:pos="600"/>
        </w:tabs>
        <w:spacing w:before="12" w:after="0" w:line="240" w:lineRule="auto"/>
        <w:ind w:right="0" w:rightChars="0" w:firstLine="240" w:firstLineChars="100"/>
        <w:jc w:val="left"/>
        <w:rPr>
          <w:rFonts w:hint="eastAsia" w:ascii="仿宋" w:hAnsi="仿宋" w:eastAsia="仿宋" w:cs="仿宋"/>
          <w:sz w:val="24"/>
          <w:lang w:eastAsia="zh-CN"/>
        </w:rPr>
      </w:pPr>
      <w:r>
        <w:rPr>
          <w:rFonts w:hint="eastAsia" w:ascii="仿宋" w:hAnsi="仿宋" w:eastAsia="仿宋" w:cs="仿宋"/>
          <w:sz w:val="24"/>
          <w:lang w:eastAsia="zh-CN"/>
        </w:rPr>
        <w:t>一、</w:t>
      </w:r>
      <w:r>
        <w:rPr>
          <w:rFonts w:hint="eastAsia" w:ascii="仿宋" w:hAnsi="仿宋" w:eastAsia="仿宋" w:cs="仿宋"/>
          <w:sz w:val="24"/>
        </w:rPr>
        <w:t>违约责任</w:t>
      </w:r>
    </w:p>
    <w:p w14:paraId="1C648160">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中标人供应的消毒产品、质量不符合合同规定的，应向采购人支付该次货款总价百分之五的违约金，并须在合同规定的交货时间内更换合格的消毒产品给采购人，否则，视作中标人不能交付消毒产品而违约，按本条本款下述第“2”项规定由中标人偿付违约赔偿金给采购人。</w:t>
      </w:r>
    </w:p>
    <w:p w14:paraId="7D32E8CF">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2、中标人不能按合同约定及时、足量供应消毒产品而违约的，除应尽快按合同交付消毒产品外，还应向采购人偿付逾期交货部分货款总额的万分之五／天的违约金；逾期交货超过七天，采购人有权单方面解除本合同，中标人则应按合同总价的百分之十的款额向采购人偿付赔偿金。若采购人单方面解除合同，则自解除通知送达中标人时，本合同解除。</w:t>
      </w:r>
    </w:p>
    <w:p w14:paraId="6B64BFAE">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3、中标人承诺提供的全部消毒产品不存在任何知识产权争议或其他纠纷，如因此造成第三方向采购人主张权利等纠纷，均与采购人无关，给采购人造成损失的，由中标人自行承担责任并赔偿由此产生的所有费用。</w:t>
      </w:r>
    </w:p>
    <w:p w14:paraId="3249D0B2">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4、中标人供应的消毒产品质量不符合要求，造成采购人被卫生行政主管部门处罚或造成采购人与患者（或第三方）之间产生纠纷等情形，或造成采购人损失的，由中标人承担采购人的全部损失。</w:t>
      </w:r>
    </w:p>
    <w:p w14:paraId="290C75CC">
      <w:pPr>
        <w:pStyle w:val="9"/>
        <w:numPr>
          <w:ilvl w:val="0"/>
          <w:numId w:val="0"/>
        </w:numPr>
        <w:tabs>
          <w:tab w:val="left" w:pos="600"/>
        </w:tabs>
        <w:spacing w:before="12" w:after="0" w:line="240" w:lineRule="auto"/>
        <w:ind w:right="0" w:rightChars="0" w:firstLine="240" w:firstLineChars="100"/>
        <w:jc w:val="left"/>
        <w:rPr>
          <w:rFonts w:hint="eastAsia" w:ascii="仿宋" w:hAnsi="仿宋" w:eastAsia="仿宋" w:cs="仿宋"/>
          <w:sz w:val="24"/>
        </w:rPr>
      </w:pPr>
      <w:r>
        <w:rPr>
          <w:rFonts w:hint="eastAsia" w:ascii="仿宋" w:hAnsi="仿宋" w:eastAsia="仿宋" w:cs="仿宋"/>
          <w:sz w:val="24"/>
          <w:lang w:eastAsia="zh-CN"/>
        </w:rPr>
        <w:t>二、</w:t>
      </w:r>
      <w:r>
        <w:rPr>
          <w:rFonts w:hint="eastAsia" w:ascii="仿宋" w:hAnsi="仿宋" w:eastAsia="仿宋" w:cs="仿宋"/>
          <w:sz w:val="24"/>
        </w:rPr>
        <w:t>不可抗力</w:t>
      </w:r>
    </w:p>
    <w:p w14:paraId="21BE13F8">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1、本条所述的“不可抗力”是指受影响方无法控制、不可预见的事件，包括战争、严重火灾、洪水、台风、地震及其他双方认可的事件，不包括故意违约或疏忽。</w:t>
      </w:r>
    </w:p>
    <w:p w14:paraId="7A394100">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2、任何一方因不可抗力事件导致合同迟延履行或者不能履行的，不承担违约责任。</w:t>
      </w:r>
    </w:p>
    <w:p w14:paraId="199881AA">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3、在不可抗力事件发生后，遭遇不可抗力的一方应尽快以书面形式将不可抗力的情况和原因通知对方，除对方同意外，在不可抗力情形消除后应继续履行合同义务。</w:t>
      </w:r>
    </w:p>
    <w:p w14:paraId="722DC0B1">
      <w:pPr>
        <w:pStyle w:val="9"/>
        <w:numPr>
          <w:ilvl w:val="0"/>
          <w:numId w:val="0"/>
        </w:numPr>
        <w:tabs>
          <w:tab w:val="left" w:pos="600"/>
        </w:tabs>
        <w:spacing w:before="12" w:after="0" w:line="240" w:lineRule="auto"/>
        <w:ind w:right="0" w:rightChars="0" w:firstLine="240" w:firstLineChars="100"/>
        <w:jc w:val="left"/>
        <w:rPr>
          <w:rFonts w:hint="eastAsia" w:ascii="仿宋" w:hAnsi="仿宋" w:eastAsia="仿宋" w:cs="仿宋"/>
          <w:sz w:val="24"/>
        </w:rPr>
      </w:pPr>
      <w:r>
        <w:rPr>
          <w:rFonts w:hint="eastAsia" w:ascii="仿宋" w:hAnsi="仿宋" w:eastAsia="仿宋" w:cs="仿宋"/>
          <w:sz w:val="24"/>
          <w:lang w:eastAsia="zh-CN"/>
        </w:rPr>
        <w:t>三</w:t>
      </w:r>
      <w:r>
        <w:rPr>
          <w:rFonts w:hint="eastAsia" w:ascii="仿宋" w:hAnsi="仿宋" w:eastAsia="仿宋" w:cs="仿宋"/>
          <w:sz w:val="24"/>
        </w:rPr>
        <w:t>、解决争议的方法</w:t>
      </w:r>
    </w:p>
    <w:p w14:paraId="2DBF044C">
      <w:pPr>
        <w:pStyle w:val="9"/>
        <w:numPr>
          <w:ilvl w:val="0"/>
          <w:numId w:val="0"/>
        </w:numPr>
        <w:tabs>
          <w:tab w:val="left" w:pos="600"/>
        </w:tabs>
        <w:spacing w:before="12" w:after="0" w:line="240" w:lineRule="auto"/>
        <w:ind w:right="0" w:rightChars="0" w:firstLine="480" w:firstLineChars="200"/>
        <w:jc w:val="left"/>
        <w:rPr>
          <w:rFonts w:hint="eastAsia" w:ascii="仿宋" w:hAnsi="仿宋" w:eastAsia="仿宋" w:cs="仿宋"/>
          <w:sz w:val="24"/>
        </w:rPr>
      </w:pPr>
      <w:r>
        <w:rPr>
          <w:rFonts w:hint="eastAsia" w:ascii="仿宋" w:hAnsi="仿宋" w:eastAsia="仿宋" w:cs="仿宋"/>
          <w:sz w:val="24"/>
        </w:rPr>
        <w:t>1．因消毒产品质量问题发生争议，由卫生行政管理部门或其指定的质量鉴定机构进行质量鉴定。消毒产品符合标准的，鉴定费由采购人承担；消毒产不符合质量标准的，鉴定费由中标人承担。</w:t>
      </w:r>
    </w:p>
    <w:p w14:paraId="666903AA">
      <w:pPr>
        <w:numPr>
          <w:ilvl w:val="-1"/>
          <w:numId w:val="0"/>
        </w:numPr>
        <w:spacing w:line="240" w:lineRule="exact"/>
        <w:ind w:firstLine="480" w:firstLineChars="200"/>
        <w:rPr>
          <w:rFonts w:hint="default" w:ascii="仿宋" w:hAnsi="仿宋" w:eastAsia="仿宋" w:cs="仿宋"/>
          <w:b/>
          <w:bCs/>
          <w:color w:val="000000"/>
          <w:sz w:val="22"/>
          <w:szCs w:val="22"/>
          <w:lang w:val="en-US" w:eastAsia="zh-CN"/>
        </w:rPr>
      </w:pPr>
      <w:r>
        <w:rPr>
          <w:rFonts w:hint="eastAsia" w:ascii="仿宋" w:hAnsi="仿宋" w:eastAsia="仿宋" w:cs="仿宋"/>
          <w:sz w:val="24"/>
        </w:rPr>
        <w:t>2．合同履行期间，若双方发生争议，可协商或由有关部门调解解决，协商或调解不成的，任何一方均可向采购人住所地人民法院提起诉讼解决。</w:t>
      </w:r>
    </w:p>
    <w:p w14:paraId="7035B4D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2B257C01"/>
    <w:rsid w:val="312E4E5B"/>
    <w:rsid w:val="368372FD"/>
    <w:rsid w:val="3BBD2F44"/>
    <w:rsid w:val="3E441D93"/>
    <w:rsid w:val="47C77CDE"/>
    <w:rsid w:val="51E53A6D"/>
    <w:rsid w:val="6B3117C7"/>
    <w:rsid w:val="714A1B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Body Text Indent 2"/>
    <w:basedOn w:val="1"/>
    <w:qFormat/>
    <w:uiPriority w:val="0"/>
    <w:pPr>
      <w:spacing w:after="120" w:line="480" w:lineRule="auto"/>
      <w:ind w:left="420" w:leftChars="200"/>
    </w:pPr>
  </w:style>
  <w:style w:type="paragraph" w:styleId="4">
    <w:name w:val="Normal (Web)"/>
    <w:basedOn w:val="1"/>
    <w:qFormat/>
    <w:uiPriority w:val="0"/>
    <w:pPr>
      <w:widowControl/>
      <w:spacing w:before="100" w:beforeAutospacing="1" w:after="100" w:afterAutospacing="1"/>
      <w:jc w:val="left"/>
    </w:pPr>
    <w:rPr>
      <w:rFonts w:ascii="宋体" w:hAnsi="宋体"/>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null3"/>
    <w:hidden/>
    <w:qFormat/>
    <w:uiPriority w:val="0"/>
    <w:rPr>
      <w:rFonts w:hint="eastAsia" w:asciiTheme="minorHAnsi" w:hAnsiTheme="minorHAnsi" w:eastAsiaTheme="minorEastAsia" w:cstheme="minorBidi"/>
      <w:lang w:val="en-US" w:eastAsia="zh-Hans"/>
    </w:rPr>
  </w:style>
  <w:style w:type="paragraph" w:customStyle="1" w:styleId="9">
    <w:name w:val="Table Paragraph"/>
    <w:basedOn w:val="1"/>
    <w:qFormat/>
    <w:uiPriority w:val="99"/>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3413</Words>
  <Characters>3664</Characters>
  <Lines>0</Lines>
  <Paragraphs>0</Paragraphs>
  <TotalTime>0</TotalTime>
  <ScaleCrop>false</ScaleCrop>
  <LinksUpToDate>false</LinksUpToDate>
  <CharactersWithSpaces>3672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kimi</cp:lastModifiedBy>
  <dcterms:modified xsi:type="dcterms:W3CDTF">2025-03-28T03:43:50Z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eyJoZGlkIjoiYjg3OWU5NzJjOTNjN2NiYTliYzlhMzgzYWFjMmQ3MjQiLCJ1c2VySWQiOiI0ODI5Njk1NDgifQ==</vt:lpwstr>
  </property>
  <property fmtid="{D5CDD505-2E9C-101B-9397-08002B2CF9AE}" pid="4" name="ICV">
    <vt:lpwstr>C5B7C8CBB9774CFEB3B6A5951A74B4A9_12</vt:lpwstr>
  </property>
</Properties>
</file>