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AAAECB">
      <w:pPr>
        <w:pStyle w:val="2"/>
        <w:bidi w:val="0"/>
        <w:rPr>
          <w:rFonts w:hint="eastAsia" w:ascii="仿宋" w:hAnsi="仿宋" w:eastAsia="仿宋" w:cs="仿宋"/>
        </w:rPr>
      </w:pPr>
      <w:bookmarkStart w:id="0" w:name="_Toc1847"/>
      <w:r>
        <w:rPr>
          <w:rFonts w:hint="eastAsia" w:ascii="仿宋" w:hAnsi="仿宋" w:eastAsia="仿宋" w:cs="仿宋"/>
        </w:rPr>
        <w:t>第三章 技术、服务及其他要求</w:t>
      </w:r>
      <w:bookmarkEnd w:id="0"/>
    </w:p>
    <w:p w14:paraId="10DE65F6">
      <w:pPr>
        <w:pStyle w:val="7"/>
        <w:ind w:firstLine="480"/>
        <w:jc w:val="left"/>
        <w:rPr>
          <w:rFonts w:hint="eastAsia" w:ascii="仿宋" w:hAnsi="仿宋" w:eastAsia="仿宋" w:cs="仿宋"/>
          <w:sz w:val="22"/>
          <w:szCs w:val="22"/>
          <w:highlight w:val="none"/>
        </w:rPr>
      </w:pPr>
      <w:r>
        <w:rPr>
          <w:rFonts w:hint="eastAsia" w:ascii="仿宋" w:hAnsi="仿宋" w:eastAsia="仿宋" w:cs="仿宋"/>
          <w:sz w:val="22"/>
          <w:szCs w:val="22"/>
        </w:rPr>
        <w:t>（注：本章的</w:t>
      </w:r>
      <w:r>
        <w:rPr>
          <w:rFonts w:hint="eastAsia" w:ascii="仿宋" w:hAnsi="仿宋" w:eastAsia="仿宋" w:cs="仿宋"/>
          <w:sz w:val="22"/>
          <w:szCs w:val="22"/>
          <w:highlight w:val="none"/>
        </w:rPr>
        <w:t>技术、服务及其他要求中，带“★”的要求为实质性要求。</w:t>
      </w:r>
      <w:r>
        <w:rPr>
          <w:rFonts w:hint="eastAsia" w:ascii="仿宋" w:hAnsi="仿宋" w:eastAsia="仿宋" w:cs="仿宋"/>
          <w:sz w:val="22"/>
          <w:szCs w:val="22"/>
          <w:highlight w:val="none"/>
          <w:lang w:eastAsia="zh-CN"/>
        </w:rPr>
        <w:t>采购人</w:t>
      </w:r>
      <w:r>
        <w:rPr>
          <w:rFonts w:hint="eastAsia" w:ascii="仿宋" w:hAnsi="仿宋" w:eastAsia="仿宋" w:cs="仿宋"/>
          <w:sz w:val="22"/>
          <w:szCs w:val="22"/>
          <w:highlight w:val="none"/>
        </w:rPr>
        <w:t>、代理机构应当根据项目实际要求合理设定，并在第五章符合性审查中明确响应要求。）</w:t>
      </w:r>
    </w:p>
    <w:p w14:paraId="7B6BCD6D">
      <w:pPr>
        <w:pStyle w:val="7"/>
        <w:jc w:val="left"/>
        <w:outlineLvl w:val="1"/>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rPr>
        <w:t>3.1.</w:t>
      </w:r>
      <w:r>
        <w:rPr>
          <w:rFonts w:hint="eastAsia" w:ascii="仿宋" w:hAnsi="仿宋" w:eastAsia="仿宋" w:cs="仿宋"/>
          <w:b/>
          <w:sz w:val="28"/>
          <w:szCs w:val="28"/>
          <w:highlight w:val="none"/>
          <w:lang w:val="en-US" w:eastAsia="zh-CN"/>
        </w:rPr>
        <w:t>标的情况</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628"/>
        <w:gridCol w:w="628"/>
        <w:gridCol w:w="1949"/>
        <w:gridCol w:w="1848"/>
        <w:gridCol w:w="1016"/>
        <w:gridCol w:w="923"/>
        <w:gridCol w:w="1554"/>
      </w:tblGrid>
      <w:tr w14:paraId="5E231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22" w:hRule="atLeast"/>
        </w:trPr>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710BDA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包号</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8C99F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编号</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C1B4F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标的名称</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79C177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单价最高限价（元）</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1C54AF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预估数量</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1FF4FD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计量单位</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1DA38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最高限价（元）</w:t>
            </w:r>
          </w:p>
        </w:tc>
      </w:tr>
      <w:tr w14:paraId="7C841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922F1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255F3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02078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脂类检测条</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EF994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20</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14070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4400</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34750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人份</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6DA41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88000</w:t>
            </w:r>
          </w:p>
        </w:tc>
      </w:tr>
      <w:tr w14:paraId="01EBE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CD48C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CB599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E2A4A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血糖测试条</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EEEF0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1.6</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A3A56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4400</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1D6C9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人份</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622BC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7040</w:t>
            </w:r>
          </w:p>
        </w:tc>
      </w:tr>
      <w:tr w14:paraId="16020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BC9C6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A71CA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F6118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糖化血红蛋白检测试剂盒</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A14BD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18</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ED36B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3500</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091F4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人份</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1D905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63000</w:t>
            </w:r>
          </w:p>
        </w:tc>
      </w:tr>
      <w:tr w14:paraId="17569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F4996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C74FC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4</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40E9B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同型半胱氨酸检测试剂盒</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30E1F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28</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2CE67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3500</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66B92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人份</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EA057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98000</w:t>
            </w:r>
          </w:p>
        </w:tc>
      </w:tr>
    </w:tbl>
    <w:p w14:paraId="5D0E9439">
      <w:pPr>
        <w:pStyle w:val="7"/>
        <w:ind w:firstLine="480"/>
        <w:jc w:val="left"/>
        <w:rPr>
          <w:rFonts w:hint="eastAsia" w:ascii="仿宋" w:hAnsi="仿宋" w:eastAsia="仿宋" w:cs="仿宋"/>
          <w:sz w:val="22"/>
          <w:szCs w:val="22"/>
          <w:highlight w:val="none"/>
        </w:rPr>
      </w:pPr>
      <w:r>
        <w:rPr>
          <w:rFonts w:hint="eastAsia" w:ascii="仿宋" w:hAnsi="仿宋" w:eastAsia="仿宋" w:cs="仿宋"/>
          <w:sz w:val="22"/>
          <w:szCs w:val="22"/>
          <w:highlight w:val="none"/>
        </w:rPr>
        <w:t>★注：</w:t>
      </w:r>
      <w:r>
        <w:rPr>
          <w:rFonts w:hint="eastAsia" w:ascii="仿宋" w:hAnsi="仿宋" w:eastAsia="仿宋" w:cs="仿宋"/>
          <w:sz w:val="22"/>
          <w:szCs w:val="22"/>
          <w:highlight w:val="none"/>
          <w:lang w:val="en-US" w:eastAsia="zh-CN"/>
        </w:rPr>
        <w:t>1.</w:t>
      </w:r>
      <w:r>
        <w:rPr>
          <w:rFonts w:hint="eastAsia" w:ascii="仿宋" w:hAnsi="仿宋" w:eastAsia="仿宋" w:cs="仿宋"/>
          <w:sz w:val="22"/>
          <w:szCs w:val="22"/>
          <w:highlight w:val="none"/>
          <w:lang w:eastAsia="zh-CN"/>
        </w:rPr>
        <w:t>供应商</w:t>
      </w:r>
      <w:r>
        <w:rPr>
          <w:rFonts w:hint="eastAsia" w:ascii="仿宋" w:hAnsi="仿宋" w:eastAsia="仿宋" w:cs="仿宋"/>
          <w:sz w:val="22"/>
          <w:szCs w:val="22"/>
          <w:highlight w:val="none"/>
        </w:rPr>
        <w:t>响应产品应当明确品牌和规格型号并指向唯一产品，不能指向唯一产品的，应通过报价表唯一产品说明栏补充说明。</w:t>
      </w:r>
    </w:p>
    <w:p w14:paraId="4EC9035A">
      <w:pPr>
        <w:pStyle w:val="7"/>
        <w:ind w:firstLine="480"/>
        <w:jc w:val="left"/>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2.</w:t>
      </w:r>
      <w:r>
        <w:rPr>
          <w:rFonts w:hint="eastAsia" w:ascii="仿宋" w:hAnsi="仿宋" w:eastAsia="仿宋" w:cs="仿宋"/>
          <w:sz w:val="22"/>
          <w:szCs w:val="22"/>
          <w:highlight w:val="none"/>
        </w:rPr>
        <w:t>定价方式：</w:t>
      </w:r>
      <w:r>
        <w:rPr>
          <w:rFonts w:hint="eastAsia" w:ascii="仿宋" w:hAnsi="仿宋" w:eastAsia="仿宋" w:cs="仿宋"/>
          <w:sz w:val="22"/>
          <w:szCs w:val="22"/>
          <w:highlight w:val="none"/>
          <w:lang w:val="en-US" w:eastAsia="zh-CN"/>
        </w:rPr>
        <w:t>固定单价。</w:t>
      </w:r>
    </w:p>
    <w:p w14:paraId="6F8DD5DC">
      <w:pPr>
        <w:pStyle w:val="7"/>
        <w:jc w:val="left"/>
        <w:outlineLvl w:val="1"/>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sz w:val="28"/>
          <w:highlight w:val="none"/>
        </w:rPr>
        <w:t>3.2.技术要求</w:t>
      </w:r>
    </w:p>
    <w:p w14:paraId="6CE4F304">
      <w:pPr>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rPr>
          <w:rFonts w:hint="eastAsia" w:ascii="仿宋" w:hAnsi="仿宋" w:eastAsia="仿宋" w:cs="仿宋"/>
          <w:b/>
          <w:bCs/>
          <w:sz w:val="24"/>
          <w:szCs w:val="24"/>
        </w:rPr>
      </w:pPr>
      <w:r>
        <w:rPr>
          <w:rFonts w:hint="eastAsia" w:ascii="仿宋" w:hAnsi="仿宋" w:eastAsia="仿宋" w:cs="仿宋"/>
          <w:b/>
          <w:bCs/>
          <w:sz w:val="24"/>
          <w:szCs w:val="24"/>
        </w:rPr>
        <w:t>脂类检测条</w:t>
      </w:r>
    </w:p>
    <w:p w14:paraId="2D362B3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rPr>
        <w:t>1.样本要求:适用的样本类型为毛细血管全血和静脉全血，加样量35μL</w:t>
      </w:r>
      <w:r>
        <w:rPr>
          <w:rFonts w:hint="eastAsia" w:ascii="仿宋" w:hAnsi="仿宋" w:eastAsia="仿宋" w:cs="仿宋"/>
          <w:sz w:val="24"/>
          <w:szCs w:val="24"/>
          <w:lang w:eastAsia="zh-CN"/>
        </w:rPr>
        <w:t>；</w:t>
      </w:r>
    </w:p>
    <w:p w14:paraId="3442988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rPr>
        <w:t>2.检测项:总胆固醇（TC）、甘油三酯（TG）、高密度脂蛋白胆固醇（HDL）、低密度脂蛋白胆固醇（LDL，公式计算）</w:t>
      </w:r>
      <w:r>
        <w:rPr>
          <w:rFonts w:hint="eastAsia" w:ascii="仿宋" w:hAnsi="仿宋" w:eastAsia="仿宋" w:cs="仿宋"/>
          <w:sz w:val="24"/>
          <w:szCs w:val="24"/>
          <w:lang w:eastAsia="zh-CN"/>
        </w:rPr>
        <w:t>；</w:t>
      </w:r>
    </w:p>
    <w:p w14:paraId="02C9A39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rPr>
        <w:t>3.检测原理:待测样本加到测试卡的加样孔，血细胞在下渗过程中被过滤，血浆扩散到反应层上，待测物与反应层中的酶及化学试剂反应后显色，该颜色强度与待测物浓度成正比。配套仪器在特定波长处检测反应终点的颜色强度，利用该反射系数计算总胆固醇（TC）、甘油三酯（TG）和高密度脂蛋白胆固醇（HDL）的浓度，并可由公式计算低密度脂蛋白胆固醇（LDL）的浓度</w:t>
      </w:r>
      <w:r>
        <w:rPr>
          <w:rFonts w:hint="eastAsia" w:ascii="仿宋" w:hAnsi="仿宋" w:eastAsia="仿宋" w:cs="仿宋"/>
          <w:sz w:val="24"/>
          <w:szCs w:val="24"/>
          <w:lang w:eastAsia="zh-CN"/>
        </w:rPr>
        <w:t>。</w:t>
      </w:r>
    </w:p>
    <w:p w14:paraId="4632FD2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4.检测范围:</w:t>
      </w:r>
    </w:p>
    <w:p w14:paraId="1791C45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总胆固醇（TC）：2.59 ~12.93mmo</w:t>
      </w:r>
      <w:r>
        <w:rPr>
          <w:rFonts w:hint="eastAsia" w:ascii="仿宋" w:hAnsi="仿宋" w:eastAsia="仿宋" w:cs="仿宋"/>
          <w:sz w:val="24"/>
          <w:szCs w:val="24"/>
          <w:lang w:val="en-US" w:eastAsia="zh-CN"/>
        </w:rPr>
        <w:t>l</w:t>
      </w:r>
      <w:r>
        <w:rPr>
          <w:rFonts w:hint="eastAsia" w:ascii="仿宋" w:hAnsi="仿宋" w:eastAsia="仿宋" w:cs="仿宋"/>
          <w:sz w:val="24"/>
          <w:szCs w:val="24"/>
        </w:rPr>
        <w:t>/L</w:t>
      </w:r>
    </w:p>
    <w:p w14:paraId="384D9DE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甘油三脂（TG）：0.51~7.34mmo</w:t>
      </w:r>
      <w:r>
        <w:rPr>
          <w:rFonts w:hint="eastAsia" w:ascii="仿宋" w:hAnsi="仿宋" w:eastAsia="仿宋" w:cs="仿宋"/>
          <w:sz w:val="24"/>
          <w:szCs w:val="24"/>
          <w:lang w:val="en-US" w:eastAsia="zh-CN"/>
        </w:rPr>
        <w:t>l</w:t>
      </w:r>
      <w:r>
        <w:rPr>
          <w:rFonts w:hint="eastAsia" w:ascii="仿宋" w:hAnsi="仿宋" w:eastAsia="仿宋" w:cs="仿宋"/>
          <w:sz w:val="24"/>
          <w:szCs w:val="24"/>
        </w:rPr>
        <w:t>/L</w:t>
      </w:r>
    </w:p>
    <w:p w14:paraId="7466DB3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高密度脂蛋白胆固醇（HDL）:0.39~3.10mmo</w:t>
      </w:r>
      <w:r>
        <w:rPr>
          <w:rFonts w:hint="eastAsia" w:ascii="仿宋" w:hAnsi="仿宋" w:eastAsia="仿宋" w:cs="仿宋"/>
          <w:sz w:val="24"/>
          <w:szCs w:val="24"/>
          <w:lang w:val="en-US" w:eastAsia="zh-CN"/>
        </w:rPr>
        <w:t>l</w:t>
      </w:r>
      <w:r>
        <w:rPr>
          <w:rFonts w:hint="eastAsia" w:ascii="仿宋" w:hAnsi="仿宋" w:eastAsia="仿宋" w:cs="仿宋"/>
          <w:sz w:val="24"/>
          <w:szCs w:val="24"/>
        </w:rPr>
        <w:t>/L</w:t>
      </w:r>
    </w:p>
    <w:p w14:paraId="7CFBF17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.批内精密度:CV&lt;</w:t>
      </w:r>
      <w:r>
        <w:rPr>
          <w:rFonts w:hint="eastAsia" w:ascii="仿宋" w:hAnsi="仿宋" w:eastAsia="仿宋" w:cs="仿宋"/>
          <w:sz w:val="24"/>
          <w:szCs w:val="24"/>
          <w:lang w:val="en-US" w:eastAsia="zh-CN"/>
        </w:rPr>
        <w:t>7.5</w:t>
      </w:r>
      <w:r>
        <w:rPr>
          <w:rFonts w:hint="eastAsia" w:ascii="仿宋" w:hAnsi="仿宋" w:eastAsia="仿宋" w:cs="仿宋"/>
          <w:sz w:val="24"/>
          <w:szCs w:val="24"/>
        </w:rPr>
        <w:t>%</w:t>
      </w:r>
    </w:p>
    <w:p w14:paraId="443D110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.批间相对极差:CV≤15%</w:t>
      </w:r>
    </w:p>
    <w:p w14:paraId="37DE887C">
      <w:pPr>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rPr>
          <w:rFonts w:hint="eastAsia" w:ascii="仿宋" w:hAnsi="仿宋" w:eastAsia="仿宋" w:cs="仿宋"/>
          <w:b/>
          <w:bCs/>
          <w:sz w:val="24"/>
          <w:szCs w:val="24"/>
        </w:rPr>
      </w:pPr>
      <w:r>
        <w:rPr>
          <w:rFonts w:hint="eastAsia" w:ascii="仿宋" w:hAnsi="仿宋" w:eastAsia="仿宋" w:cs="仿宋"/>
          <w:b/>
          <w:bCs/>
          <w:sz w:val="24"/>
          <w:szCs w:val="24"/>
        </w:rPr>
        <w:t>血糖测试条</w:t>
      </w:r>
    </w:p>
    <w:p w14:paraId="51D0DBB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1.</w:t>
      </w:r>
      <w:r>
        <w:rPr>
          <w:rFonts w:hint="eastAsia" w:ascii="仿宋" w:hAnsi="仿宋" w:eastAsia="仿宋" w:cs="仿宋"/>
          <w:sz w:val="24"/>
          <w:szCs w:val="24"/>
        </w:rPr>
        <w:t>用途:主要用于体外定量检测人体新鲜指尖全血、静脉全血、动脉全血中葡萄糖（GLU）的浓度。适用于医护人员临床血糖检测，其测定结果可用于糖尿病患者的血糖水平监测，血液葡萄糖测定可以评估机体糖代谢状态</w:t>
      </w:r>
      <w:r>
        <w:rPr>
          <w:rFonts w:hint="eastAsia" w:ascii="仿宋" w:hAnsi="仿宋" w:eastAsia="仿宋" w:cs="仿宋"/>
          <w:sz w:val="24"/>
          <w:szCs w:val="24"/>
          <w:lang w:eastAsia="zh-CN"/>
        </w:rPr>
        <w:t>；</w:t>
      </w:r>
    </w:p>
    <w:p w14:paraId="74CC06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r>
        <w:rPr>
          <w:rFonts w:hint="eastAsia" w:ascii="仿宋" w:hAnsi="仿宋" w:eastAsia="仿宋" w:cs="仿宋"/>
          <w:sz w:val="24"/>
          <w:szCs w:val="24"/>
        </w:rPr>
        <w:t>测量范围:0.6~33.3mmo</w:t>
      </w:r>
      <w:r>
        <w:rPr>
          <w:rFonts w:hint="eastAsia" w:ascii="仿宋" w:hAnsi="仿宋" w:eastAsia="仿宋" w:cs="仿宋"/>
          <w:sz w:val="24"/>
          <w:szCs w:val="24"/>
          <w:lang w:val="en-US" w:eastAsia="zh-CN"/>
        </w:rPr>
        <w:t>l</w:t>
      </w:r>
      <w:r>
        <w:rPr>
          <w:rFonts w:hint="eastAsia" w:ascii="仿宋" w:hAnsi="仿宋" w:eastAsia="仿宋" w:cs="仿宋"/>
          <w:sz w:val="24"/>
          <w:szCs w:val="24"/>
        </w:rPr>
        <w:t>/L</w:t>
      </w:r>
      <w:r>
        <w:rPr>
          <w:rFonts w:hint="eastAsia" w:ascii="仿宋" w:hAnsi="仿宋" w:eastAsia="仿宋" w:cs="仿宋"/>
          <w:sz w:val="24"/>
          <w:szCs w:val="24"/>
          <w:lang w:eastAsia="zh-CN"/>
        </w:rPr>
        <w:t>；</w:t>
      </w:r>
    </w:p>
    <w:p w14:paraId="6D1846E0">
      <w:pPr>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糖化血红蛋白检测试剂盒</w:t>
      </w:r>
    </w:p>
    <w:p w14:paraId="2EA4192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1.用途:用于体外定量测定人血细胞中糖化血红蛋白的含量。</w:t>
      </w:r>
    </w:p>
    <w:p w14:paraId="3B76872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2.检验原理:利用抗原抗体反应直接测定总血红蛋白(Hb)中糖化血红蛋白(HbA1c)的百分含量。</w:t>
      </w:r>
    </w:p>
    <w:p w14:paraId="7D918C6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lang w:eastAsia="zh-CN"/>
        </w:rPr>
        <w:t>线性范围：2%-14%</w:t>
      </w:r>
    </w:p>
    <w:p w14:paraId="066FB46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lang w:eastAsia="zh-CN"/>
        </w:rPr>
        <w:t>.空白限:不大于</w:t>
      </w:r>
      <w:r>
        <w:rPr>
          <w:rFonts w:hint="eastAsia" w:ascii="仿宋" w:hAnsi="仿宋" w:eastAsia="仿宋" w:cs="仿宋"/>
          <w:color w:val="auto"/>
          <w:sz w:val="24"/>
          <w:szCs w:val="24"/>
          <w:lang w:val="en-US" w:eastAsia="zh-CN"/>
        </w:rPr>
        <w:t>1.2</w:t>
      </w:r>
      <w:r>
        <w:rPr>
          <w:rFonts w:hint="eastAsia" w:ascii="仿宋" w:hAnsi="仿宋" w:eastAsia="仿宋" w:cs="仿宋"/>
          <w:color w:val="auto"/>
          <w:sz w:val="24"/>
          <w:szCs w:val="24"/>
          <w:lang w:eastAsia="zh-CN"/>
        </w:rPr>
        <w:t>%</w:t>
      </w:r>
    </w:p>
    <w:p w14:paraId="35BE0FF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lang w:eastAsia="zh-CN"/>
        </w:rPr>
        <w:t>.重复性:变异系数CV应不大于3%</w:t>
      </w:r>
    </w:p>
    <w:p w14:paraId="7D6F65F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lang w:eastAsia="zh-CN"/>
        </w:rPr>
        <w:t>.批间差:批间相对极差应不大于10%</w:t>
      </w:r>
    </w:p>
    <w:p w14:paraId="0F7CCC3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7.</w:t>
      </w:r>
      <w:r>
        <w:rPr>
          <w:rFonts w:hint="eastAsia" w:ascii="仿宋" w:hAnsi="仿宋" w:eastAsia="仿宋" w:cs="仿宋"/>
          <w:color w:val="auto"/>
          <w:sz w:val="24"/>
          <w:szCs w:val="24"/>
          <w:lang w:eastAsia="zh-CN"/>
        </w:rPr>
        <w:t>准确度：相对偏差不大于±7%</w:t>
      </w:r>
    </w:p>
    <w:p w14:paraId="1DA5D1AB">
      <w:pPr>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同型半胱氨酸检测试剂盒</w:t>
      </w:r>
    </w:p>
    <w:p w14:paraId="2AD7112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用途:适用于检测人体血清中同型半胱氨酸的含量；</w:t>
      </w:r>
    </w:p>
    <w:p w14:paraId="61D698C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2.检测原理:通过测定复合物荧光强度与Hcy标准曲线比较,得出样本中Hcy的含量。</w:t>
      </w:r>
    </w:p>
    <w:p w14:paraId="14A4508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3.空白限:不大于 1.5μmol/L</w:t>
      </w:r>
    </w:p>
    <w:p w14:paraId="4808E1D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4.批内精密度(重复性):相对标准偏差≤10%</w:t>
      </w:r>
    </w:p>
    <w:p w14:paraId="15A6F82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5.批间精密度:批间相对极差(R)≤15%</w:t>
      </w:r>
    </w:p>
    <w:p w14:paraId="45F7EBD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6.准确度:相对偏差(B)应不超过</w:t>
      </w:r>
      <w:r>
        <w:rPr>
          <w:rFonts w:hint="eastAsia" w:ascii="仿宋" w:hAnsi="仿宋" w:eastAsia="仿宋" w:cs="仿宋"/>
          <w:sz w:val="24"/>
          <w:szCs w:val="24"/>
          <w:lang w:val="en-US" w:eastAsia="zh-CN"/>
        </w:rPr>
        <w:t>±</w:t>
      </w:r>
      <w:r>
        <w:rPr>
          <w:rFonts w:hint="eastAsia" w:ascii="仿宋" w:hAnsi="仿宋" w:eastAsia="仿宋" w:cs="仿宋"/>
          <w:sz w:val="24"/>
          <w:szCs w:val="24"/>
          <w:lang w:eastAsia="zh-CN"/>
        </w:rPr>
        <w:t>1</w:t>
      </w:r>
      <w:r>
        <w:rPr>
          <w:rFonts w:hint="eastAsia" w:ascii="仿宋" w:hAnsi="仿宋" w:eastAsia="仿宋" w:cs="仿宋"/>
          <w:sz w:val="24"/>
          <w:szCs w:val="24"/>
          <w:lang w:val="en-US" w:eastAsia="zh-CN"/>
        </w:rPr>
        <w:t>0</w:t>
      </w:r>
      <w:r>
        <w:rPr>
          <w:rFonts w:hint="eastAsia" w:ascii="仿宋" w:hAnsi="仿宋" w:eastAsia="仿宋" w:cs="仿宋"/>
          <w:sz w:val="24"/>
          <w:szCs w:val="24"/>
          <w:lang w:eastAsia="zh-CN"/>
        </w:rPr>
        <w:t>%</w:t>
      </w:r>
    </w:p>
    <w:p w14:paraId="018D60F1">
      <w:pPr>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脑卒中数据管理系统要求</w:t>
      </w:r>
    </w:p>
    <w:p w14:paraId="07E9564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lang w:eastAsia="zh-CN"/>
        </w:rPr>
        <w:t>快速建档:实现二代身份证信息进行自动识别并电子建档，并能直接推档案到中国卒中数据中心平台系统;</w:t>
      </w:r>
    </w:p>
    <w:p w14:paraId="790DD1BA">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lang w:eastAsia="zh-CN"/>
        </w:rPr>
        <w:t>快速检测:实时接收和呈现，通过快速检测设备，检测血压、血脂、血糖检测数值</w:t>
      </w:r>
      <w:r>
        <w:rPr>
          <w:rFonts w:hint="eastAsia" w:ascii="仿宋" w:hAnsi="仿宋" w:eastAsia="仿宋" w:cs="仿宋"/>
          <w:color w:val="auto"/>
          <w:sz w:val="24"/>
          <w:szCs w:val="24"/>
          <w:lang w:val="en-US" w:eastAsia="zh-CN"/>
        </w:rPr>
        <w:t>;</w:t>
      </w:r>
    </w:p>
    <w:p w14:paraId="185A3C71">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仿宋" w:hAnsi="仿宋" w:eastAsia="仿宋" w:cs="仿宋"/>
          <w:color w:val="auto"/>
          <w:sz w:val="24"/>
          <w:szCs w:val="24"/>
          <w:lang w:eastAsia="zh-CN"/>
        </w:rPr>
      </w:pPr>
      <w:r>
        <w:rPr>
          <w:rFonts w:hint="eastAsia" w:ascii="仿宋" w:hAnsi="仿宋" w:eastAsia="仿宋" w:cs="仿宋"/>
          <w:b/>
          <w:bCs/>
          <w:color w:val="auto"/>
          <w:sz w:val="24"/>
          <w:szCs w:val="24"/>
          <w:lang w:val="en-US" w:eastAsia="zh-CN"/>
        </w:rPr>
        <w:t>★</w:t>
      </w:r>
      <w:r>
        <w:rPr>
          <w:rFonts w:hint="eastAsia" w:ascii="仿宋" w:hAnsi="仿宋" w:eastAsia="仿宋" w:cs="仿宋"/>
          <w:color w:val="auto"/>
          <w:sz w:val="24"/>
          <w:szCs w:val="24"/>
          <w:lang w:eastAsia="zh-CN"/>
        </w:rPr>
        <w:t>3.数据管理:可查询患者检测数据，可查询患者历史检测数据，历史数据重新上传等内容。</w:t>
      </w:r>
    </w:p>
    <w:p w14:paraId="6652365E">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仿宋" w:hAnsi="仿宋" w:eastAsia="仿宋" w:cs="仿宋"/>
          <w:color w:val="auto"/>
          <w:sz w:val="24"/>
          <w:szCs w:val="24"/>
          <w:lang w:eastAsia="zh-CN"/>
        </w:rPr>
      </w:pPr>
      <w:r>
        <w:rPr>
          <w:rFonts w:hint="eastAsia" w:ascii="仿宋" w:hAnsi="仿宋" w:eastAsia="仿宋" w:cs="仿宋"/>
          <w:b/>
          <w:bCs/>
          <w:color w:val="auto"/>
          <w:sz w:val="24"/>
          <w:szCs w:val="24"/>
          <w:lang w:val="en-US" w:eastAsia="zh-CN"/>
        </w:rPr>
        <w:t>★</w:t>
      </w:r>
      <w:r>
        <w:rPr>
          <w:rFonts w:hint="eastAsia" w:ascii="仿宋" w:hAnsi="仿宋" w:eastAsia="仿宋" w:cs="仿宋"/>
          <w:color w:val="auto"/>
          <w:sz w:val="24"/>
          <w:szCs w:val="24"/>
          <w:lang w:eastAsia="zh-CN"/>
        </w:rPr>
        <w:t>4</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系统设置:软件更新及与蓝牙设置的基本功能；</w:t>
      </w:r>
    </w:p>
    <w:p w14:paraId="3A87CE3F">
      <w:pPr>
        <w:pStyle w:val="7"/>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outlineLvl w:val="9"/>
        <w:rPr>
          <w:rFonts w:hint="eastAsia" w:ascii="仿宋" w:hAnsi="仿宋" w:eastAsia="仿宋" w:cs="仿宋"/>
          <w:color w:val="auto"/>
          <w:sz w:val="24"/>
          <w:szCs w:val="24"/>
          <w:lang w:eastAsia="zh-CN"/>
        </w:rPr>
      </w:pPr>
      <w:r>
        <w:rPr>
          <w:rFonts w:hint="eastAsia" w:ascii="仿宋" w:hAnsi="仿宋" w:eastAsia="仿宋" w:cs="仿宋"/>
          <w:b/>
          <w:bCs/>
          <w:color w:val="auto"/>
          <w:sz w:val="24"/>
          <w:szCs w:val="24"/>
          <w:lang w:val="en-US" w:eastAsia="zh-CN"/>
        </w:rPr>
        <w:t>★</w:t>
      </w:r>
      <w:r>
        <w:rPr>
          <w:rFonts w:hint="eastAsia" w:ascii="仿宋" w:hAnsi="仿宋" w:eastAsia="仿宋" w:cs="仿宋"/>
          <w:b w:val="0"/>
          <w:bCs w:val="0"/>
          <w:color w:val="auto"/>
          <w:sz w:val="24"/>
          <w:szCs w:val="24"/>
          <w:lang w:val="en-US" w:eastAsia="zh-CN"/>
        </w:rPr>
        <w:t>5</w:t>
      </w:r>
      <w:r>
        <w:rPr>
          <w:rFonts w:hint="eastAsia" w:ascii="仿宋" w:hAnsi="仿宋" w:eastAsia="仿宋" w:cs="仿宋"/>
          <w:b w:val="0"/>
          <w:bCs w:val="0"/>
          <w:color w:val="auto"/>
          <w:sz w:val="24"/>
          <w:szCs w:val="24"/>
          <w:lang w:eastAsia="zh-CN"/>
        </w:rPr>
        <w:t>.</w:t>
      </w:r>
      <w:r>
        <w:rPr>
          <w:rFonts w:hint="eastAsia" w:ascii="仿宋" w:hAnsi="仿宋" w:eastAsia="仿宋" w:cs="仿宋"/>
          <w:color w:val="auto"/>
          <w:sz w:val="24"/>
          <w:szCs w:val="24"/>
          <w:lang w:eastAsia="zh-CN"/>
        </w:rPr>
        <w:t>检测结果能符合国家卒中防治工程管理专项数据库系统相关要求。</w:t>
      </w:r>
    </w:p>
    <w:p w14:paraId="70D28E0F">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1"/>
        <w:rPr>
          <w:rFonts w:hint="eastAsia" w:ascii="仿宋" w:hAnsi="仿宋" w:eastAsia="仿宋" w:cs="仿宋"/>
          <w:b/>
          <w:bCs/>
          <w:color w:val="000000"/>
          <w:sz w:val="28"/>
          <w:szCs w:val="28"/>
          <w:highlight w:val="none"/>
          <w:lang w:val="en-US" w:eastAsia="zh-CN"/>
        </w:rPr>
      </w:pPr>
      <w:r>
        <w:rPr>
          <w:rFonts w:hint="eastAsia" w:ascii="仿宋" w:hAnsi="仿宋" w:eastAsia="仿宋" w:cs="仿宋"/>
          <w:b/>
          <w:sz w:val="28"/>
          <w:highlight w:val="none"/>
        </w:rPr>
        <w:t>3.3.</w:t>
      </w:r>
      <w:r>
        <w:rPr>
          <w:rFonts w:hint="eastAsia" w:ascii="仿宋" w:hAnsi="仿宋" w:eastAsia="仿宋" w:cs="仿宋"/>
          <w:b/>
          <w:sz w:val="28"/>
          <w:highlight w:val="none"/>
          <w:lang w:val="en-US" w:eastAsia="zh-CN"/>
        </w:rPr>
        <w:t>商务要求</w:t>
      </w:r>
    </w:p>
    <w:p w14:paraId="24810D2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★挂网需求</w:t>
      </w:r>
    </w:p>
    <w:p w14:paraId="51A199D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本项目所有标的均须提供挂网产品。</w:t>
      </w:r>
    </w:p>
    <w:p w14:paraId="56B3A22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注：本项目中所指“挂网产品”，为“四川省药品和医用耗材招采管理系统”中已挂网产品（不含正在挂网和备案的产品）。</w:t>
      </w:r>
    </w:p>
    <w:p w14:paraId="3A2A3CF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★商务要求</w:t>
      </w:r>
    </w:p>
    <w:p w14:paraId="7101EA5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1.交货期及地点</w:t>
      </w:r>
    </w:p>
    <w:p w14:paraId="5B12C3C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（1）交货期：每次配送时间必须严格按照采购人配送通知执行，中标人应于收到通知后2小时内响应。急救耗材的配送时间不应超过4小时，一般耗材原则上的配送时间不应超过2个工作日。</w:t>
      </w:r>
    </w:p>
    <w:p w14:paraId="4B84326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（2）交货地点：内江市第一人民医院指定地点。</w:t>
      </w:r>
    </w:p>
    <w:p w14:paraId="0BC9113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2.付款方法和条件</w:t>
      </w:r>
    </w:p>
    <w:p w14:paraId="02CD369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（1）结算方式：货款按实结算且由双方协商决定。</w:t>
      </w:r>
    </w:p>
    <w:p w14:paraId="2D769D5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（2）成交价格包含成本、运输、包装、培训、配送、伴随服务、税费及其他附加费用。</w:t>
      </w:r>
    </w:p>
    <w:p w14:paraId="705D1C3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3.医用耗材质量保证</w:t>
      </w:r>
    </w:p>
    <w:p w14:paraId="549E0E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（1）中标人须提供原厂生产的未曾使用过的、全新的合格的货品（含配套配件等），表面无划伤、无破损痕迹，且权属清楚，不得侵害他人的合法权利。</w:t>
      </w:r>
    </w:p>
    <w:p w14:paraId="6C9C5FD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中标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7C204B1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（3）中标人提供货品的设计技术专利、外形专利等均应符合我国有关法律法规及行业标准，凡因以上问题与第三方发生的任何纠纷，由中标人承担全部责任，中标人还应负责赔偿采购人由此而遭受的全部损失。</w:t>
      </w:r>
    </w:p>
    <w:p w14:paraId="6D537F6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（4）中标人保证其提供货品的安全可靠性。在正常使用下不应对使用者造成任何人身伤害，如因产品质量或标示不明确而对使用者造成损失的，由中标人承担相应责任。</w:t>
      </w:r>
    </w:p>
    <w:p w14:paraId="305F6F0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323A5CF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（6）中标人保证所供耗材有效期不低于1年，自通过最终验收之日起，确保采购人在使用耗材的过程中安全、有效。</w:t>
      </w:r>
    </w:p>
    <w:p w14:paraId="6226FD1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4.验收</w:t>
      </w:r>
    </w:p>
    <w:p w14:paraId="1CFCA7B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按照《财政部关于进一步加强政府采购需求和履约验收管理的指导意见》（财库〔2016〕205号）的要求以及采购人招标文件的质量要求和技术指标、中标人的投标文件及承诺（若有）、国家（行业）标准、采购合同约定标准进行验收；</w:t>
      </w:r>
    </w:p>
    <w:p w14:paraId="6C103FA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6727225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223C845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（4）其他未尽事宜严格按照《财政部关于进一步加强政府采购需求和履约验收管理的指导意见》（财库〔2016〕205号）的要求进行。</w:t>
      </w:r>
    </w:p>
    <w:p w14:paraId="5DE25A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5.售后服务</w:t>
      </w:r>
    </w:p>
    <w:p w14:paraId="22EF79D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要求中标人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7FBFB6A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（2）要求中标人指派专人负责与采购人联系售后服务事宜；在投标文件中列明售后联系人及联系电话。</w:t>
      </w:r>
    </w:p>
    <w:p w14:paraId="484F11A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3）要求中标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1A847DB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（4）耗材临近失效期，采购人提前三个月向中标人提出更换，中标人须在耗材失效前一个月更换完毕，不得以任何理由进行推诿。</w:t>
      </w:r>
    </w:p>
    <w:p w14:paraId="4F79721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（5）中标人必须随货提供其具备医疗器械经营企业的有关合法有效的手续（包括但不限于）：</w:t>
      </w:r>
    </w:p>
    <w:p w14:paraId="40BA382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1).产品所涉及逐级授权经销商的医疗器械生产（经营）许可证或生产（经营）企业备案表；</w:t>
      </w:r>
    </w:p>
    <w:p w14:paraId="669FB0C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2).医疗器械产品注册证或备案凭证；</w:t>
      </w:r>
    </w:p>
    <w:p w14:paraId="41FDD0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3).医疗器械生产企业许可证；</w:t>
      </w:r>
    </w:p>
    <w:p w14:paraId="487E2F4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4).经销商获得的委托授权书（逐级）；</w:t>
      </w:r>
    </w:p>
    <w:p w14:paraId="53B6A33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5).产品所涉及逐级授权经销商的企业法人营业执照。</w:t>
      </w:r>
    </w:p>
    <w:p w14:paraId="6C0C906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6).采购人要求提供的相关资料。</w:t>
      </w:r>
    </w:p>
    <w:p w14:paraId="3ABB520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标人或厂家原因无法按上述要求执行的，则采购人可以解除与中标人在成交合同中对该产品的采购相关约定。</w:t>
      </w:r>
    </w:p>
    <w:p w14:paraId="5258527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 xml:space="preserve">6.包装和运输 </w:t>
      </w:r>
    </w:p>
    <w:p w14:paraId="17B14D5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 xml:space="preserve">（1）中标人须严格按照《商品包装政府采购需求标准(试行)》、《快递包装政府采购需 求标准(试行)》(财办库〔2020〕123 号)的要求进行产品及相关快递服务的包装。 </w:t>
      </w:r>
    </w:p>
    <w:p w14:paraId="4F94ADC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 xml:space="preserve">（2）中标人应当按照约定的方式交付标的物。对于包装方式没有约定或者约定不明确的，应当按照通用的方式包装；没有通用方式的，应当采取足以保护标的物且有利于节约资源，保护生态环境的包装方式。 </w:t>
      </w:r>
    </w:p>
    <w:p w14:paraId="0192762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（3）本次采购的标的物需要运输，中标人在合同约定的时间内将标的物运输至合同约定地点。</w:t>
      </w:r>
    </w:p>
    <w:p w14:paraId="792D2E1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7.在合同续存期内，中标人须提供相关设施、设备，以确保临床科室对本合同内耗材的正常使用。中标人提供的相关设施、设备能与国家脑卒中数据平台对接,检测结果直接上报数据中心；</w:t>
      </w:r>
    </w:p>
    <w:p w14:paraId="6F9196C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8.带“★”的条款为实质性要求，不允许负偏离，如有负偏离作无效响应处理。</w:t>
      </w:r>
    </w:p>
    <w:p w14:paraId="1424F6FB">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1"/>
        <w:rPr>
          <w:rFonts w:hint="eastAsia" w:ascii="仿宋" w:hAnsi="仿宋" w:eastAsia="仿宋" w:cs="仿宋"/>
          <w:b/>
          <w:bCs/>
          <w:color w:val="auto"/>
          <w:kern w:val="0"/>
          <w:sz w:val="22"/>
          <w:szCs w:val="22"/>
          <w:highlight w:val="none"/>
          <w:shd w:val="clear" w:color="auto" w:fill="auto"/>
          <w:lang w:val="en-US" w:eastAsia="zh-CN"/>
        </w:rPr>
      </w:pPr>
      <w:r>
        <w:rPr>
          <w:rFonts w:hint="eastAsia" w:ascii="仿宋" w:hAnsi="仿宋" w:eastAsia="仿宋" w:cs="仿宋"/>
          <w:b/>
          <w:kern w:val="0"/>
          <w:sz w:val="28"/>
          <w:szCs w:val="28"/>
          <w:highlight w:val="none"/>
          <w:lang w:val="en-US" w:eastAsia="zh-CN"/>
        </w:rPr>
        <w:t>3.5合同管理安排</w:t>
      </w:r>
    </w:p>
    <w:p w14:paraId="0C020AB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1.是否为据实结算：☑是□否</w:t>
      </w:r>
    </w:p>
    <w:p w14:paraId="7CDDD7D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2.合同履行期限：1年</w:t>
      </w:r>
    </w:p>
    <w:p w14:paraId="43223A0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3.合同支付约定：双方协商确定</w:t>
      </w:r>
    </w:p>
    <w:p w14:paraId="6FDCFE7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4.违约责任与解决争议的方法：</w:t>
      </w:r>
    </w:p>
    <w:p w14:paraId="698A3F20">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9"/>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违约责任</w:t>
      </w:r>
    </w:p>
    <w:p w14:paraId="7D54E00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（1）中标人逾期15日内不能提供采购人所需医用耗材的，应向采购人每日支付该批次货款千分之三的违约金。</w:t>
      </w:r>
    </w:p>
    <w:p w14:paraId="6948AE1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（2）中标人逾期15日及以上不能交付以上产品的，视同不能供货，须向采购人支付该批次货款的10%的违约金，同时采购人可以单方面解除采购合同。</w:t>
      </w:r>
    </w:p>
    <w:p w14:paraId="1194968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（3）若因中标人原因造成采购人被监管部门通报三次及以上的或者造成采购人违规采购，采购人有权单方面解除采购合同。同时，采购人有权要求中标人支付该批货物价款20%的违约金。</w:t>
      </w:r>
    </w:p>
    <w:p w14:paraId="5795E2D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4）中标人销售的产品若发生严重医疗不良事件或被国家法定检测机构检测为不合格产品，视为中标人违约导致不能实现采购合同目的，采购人有权单方面解除采购合同，并要求中标人限期收回不合格产品，并要求中标人需承担合同价款20%的违约金，违约金不足以</w:t>
      </w:r>
      <w:r>
        <w:rPr>
          <w:rFonts w:hint="eastAsia" w:ascii="仿宋" w:hAnsi="仿宋" w:eastAsia="仿宋" w:cs="仿宋"/>
          <w:b w:val="0"/>
          <w:bCs w:val="0"/>
          <w:sz w:val="24"/>
          <w:szCs w:val="24"/>
          <w:highlight w:val="none"/>
          <w:lang w:val="en-US" w:eastAsia="zh-Hans"/>
        </w:rPr>
        <w:t>弥补</w:t>
      </w:r>
      <w:r>
        <w:rPr>
          <w:rFonts w:hint="eastAsia" w:ascii="仿宋" w:hAnsi="仿宋" w:eastAsia="仿宋" w:cs="仿宋"/>
          <w:b w:val="0"/>
          <w:bCs w:val="0"/>
          <w:sz w:val="24"/>
          <w:szCs w:val="24"/>
          <w:highlight w:val="none"/>
          <w:lang w:val="en-US" w:eastAsia="zh-CN"/>
        </w:rPr>
        <w:t>采购人损失的，中标人还应当承</w:t>
      </w:r>
      <w:r>
        <w:rPr>
          <w:rFonts w:hint="eastAsia" w:ascii="仿宋" w:hAnsi="仿宋" w:eastAsia="仿宋" w:cs="仿宋"/>
          <w:b w:val="0"/>
          <w:bCs w:val="0"/>
          <w:sz w:val="24"/>
          <w:szCs w:val="24"/>
          <w:highlight w:val="none"/>
          <w:lang w:val="en-US" w:eastAsia="zh-Hans"/>
        </w:rPr>
        <w:t>补足</w:t>
      </w:r>
      <w:r>
        <w:rPr>
          <w:rFonts w:hint="eastAsia" w:ascii="仿宋" w:hAnsi="仿宋" w:eastAsia="仿宋" w:cs="仿宋"/>
          <w:b w:val="0"/>
          <w:bCs w:val="0"/>
          <w:sz w:val="24"/>
          <w:szCs w:val="24"/>
          <w:highlight w:val="none"/>
          <w:lang w:val="en-US" w:eastAsia="zh-CN"/>
        </w:rPr>
        <w:t>。</w:t>
      </w:r>
    </w:p>
    <w:p w14:paraId="59E3EBC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即使产品已经验收入库（或安装调试完毕）后，采购人才发现产品为不合格产品的，也视为中标人违约，中标人应当承担本条约定的责任。同时采购人有权退回库存产品。</w:t>
      </w:r>
    </w:p>
    <w:p w14:paraId="143D8C0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（5）若根据法律规定或本协议约定产生采购人退、换货或拒绝收货情形，由中标人承担退换货产生的各项税、费或其他支出。</w:t>
      </w:r>
    </w:p>
    <w:p w14:paraId="365D1AB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（6）中标人不能保证及时供货，除应当向采购人承担违约责任外，采购人仍有权单方面解除采购合同。</w:t>
      </w:r>
    </w:p>
    <w:p w14:paraId="5538A87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（7）因中标人提供的产品不合格造成采购人或第三人人身损害或财产损失的，由中标人承担赔偿责任。</w:t>
      </w:r>
    </w:p>
    <w:p w14:paraId="38EB483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8）若因中标人原因造成采购人挂网执行存在问题以及线上支付不及时、造成采购人未挂网采购的或者存在其他问题的，中标人应承担违约责任，且采购人有权要求中标人支付该批货物价款20%的违约金，采购人有权单方面解除合同。</w:t>
      </w:r>
    </w:p>
    <w:p w14:paraId="7CA597C1">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9"/>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解决合同纠纷的方式</w:t>
      </w:r>
    </w:p>
    <w:p w14:paraId="515340F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（1）因货物的质量问题发生的争议，由法定质量鉴定机构或其认可的质量鉴定机构进行质量鉴定。货物符合标准的，鉴定费由采购人承担；货物不符合质量标准的，鉴定费由中标人承担。</w:t>
      </w:r>
    </w:p>
    <w:p w14:paraId="6102625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（2）合同履行期间，若双方发生争议，可协商或由有关部门调解解决，协商或调解不成的，可向采购人所在地人民法院依法提起诉讼。</w:t>
      </w:r>
    </w:p>
    <w:p w14:paraId="18F1075E">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1"/>
        <w:rPr>
          <w:rFonts w:hint="eastAsia" w:ascii="仿宋" w:hAnsi="仿宋" w:eastAsia="仿宋" w:cs="仿宋"/>
          <w:b/>
          <w:kern w:val="0"/>
          <w:sz w:val="28"/>
          <w:szCs w:val="28"/>
          <w:highlight w:val="none"/>
          <w:lang w:val="en-US" w:eastAsia="zh-CN"/>
        </w:rPr>
      </w:pPr>
      <w:r>
        <w:rPr>
          <w:rFonts w:hint="eastAsia" w:ascii="仿宋" w:hAnsi="仿宋" w:eastAsia="仿宋" w:cs="仿宋"/>
          <w:b/>
          <w:kern w:val="0"/>
          <w:sz w:val="28"/>
          <w:szCs w:val="28"/>
          <w:highlight w:val="none"/>
          <w:lang w:val="en-US" w:eastAsia="zh-CN"/>
        </w:rPr>
        <w:t>3.6履约验收方案</w:t>
      </w:r>
    </w:p>
    <w:p w14:paraId="44D8F7A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1.履约验收程序：分批次验收。</w:t>
      </w:r>
    </w:p>
    <w:p w14:paraId="4A3F1FC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2.履约验收时间：合同期限内，根据采购人要求分批次送货，完成送货、验收入库视为验收完成。</w:t>
      </w:r>
    </w:p>
    <w:p w14:paraId="0086A07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3.技术履约验收内容：采购人按照本项目技术要求进行验收。</w:t>
      </w:r>
    </w:p>
    <w:p w14:paraId="595DCF3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4.商务履约验收内容：采购人按照本项目商务要求进行验收。</w:t>
      </w:r>
    </w:p>
    <w:p w14:paraId="63CE131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5.履约收标准：采购人按照本项目合同要求进行验收。</w:t>
      </w:r>
    </w:p>
    <w:p w14:paraId="4B26F91A">
      <w:pPr>
        <w:ind w:firstLine="440" w:firstLineChars="200"/>
      </w:pPr>
      <w:bookmarkStart w:id="1" w:name="_GoBack"/>
      <w:bookmarkEnd w:id="1"/>
      <w:r>
        <w:rPr>
          <w:rFonts w:hint="eastAsia" w:ascii="仿宋" w:hAnsi="仿宋" w:eastAsia="仿宋" w:cs="仿宋"/>
          <w:color w:val="000000"/>
          <w:kern w:val="0"/>
          <w:sz w:val="22"/>
          <w:szCs w:val="22"/>
          <w:u w:val="none"/>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108B406B"/>
    <w:rsid w:val="18864C72"/>
    <w:rsid w:val="1ACE595C"/>
    <w:rsid w:val="388A64C7"/>
    <w:rsid w:val="67B475D0"/>
    <w:rsid w:val="67BA4749"/>
    <w:rsid w:val="7D760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32"/>
      <w:szCs w:val="2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99"/>
    <w:pPr>
      <w:snapToGrid w:val="0"/>
      <w:spacing w:line="440" w:lineRule="exact"/>
    </w:pPr>
    <w:rPr>
      <w:rFonts w:ascii="Times New Roman" w:eastAsia="Times New Roman"/>
      <w:sz w:val="20"/>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3675</Words>
  <Characters>3897</Characters>
  <Lines>0</Lines>
  <Paragraphs>0</Paragraphs>
  <TotalTime>0</TotalTime>
  <ScaleCrop>false</ScaleCrop>
  <LinksUpToDate>false</LinksUpToDate>
  <CharactersWithSpaces>3909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超超杨</cp:lastModifiedBy>
  <dcterms:modified xsi:type="dcterms:W3CDTF">2025-03-28T02:13:35Z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eyJoZGlkIjoiYzI4N2ZiMDIxNTgzYTE0ZGY4Y2VmOTFiZDBiZGUxMjUiLCJ1c2VySWQiOiIyOTgyNDc5NTEifQ==</vt:lpwstr>
  </property>
  <property fmtid="{D5CDD505-2E9C-101B-9397-08002B2CF9AE}" pid="4" name="ICV">
    <vt:lpwstr>C5B7C8CBB9774CFEB3B6A5951A74B4A9_12</vt:lpwstr>
  </property>
</Properties>
</file>