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76638">
      <w:pPr>
        <w:pStyle w:val="5"/>
        <w:numPr>
          <w:ilvl w:val="0"/>
          <w:numId w:val="0"/>
        </w:numPr>
        <w:spacing w:line="360" w:lineRule="auto"/>
        <w:jc w:val="center"/>
        <w:outlineLvl w:val="0"/>
        <w:rPr>
          <w:rFonts w:cs="宋体" w:asciiTheme="minorEastAsia" w:hAnsiTheme="minorEastAsia" w:eastAsiaTheme="minorEastAsia"/>
          <w:b/>
          <w:color w:val="auto"/>
          <w:sz w:val="30"/>
          <w:szCs w:val="30"/>
        </w:rPr>
      </w:pPr>
      <w:bookmarkStart w:id="0" w:name="_Toc140226988"/>
      <w:bookmarkStart w:id="1" w:name="_Toc140324818"/>
      <w:bookmarkStart w:id="2" w:name="_Toc16525"/>
      <w:r>
        <w:rPr>
          <w:rFonts w:hint="eastAsia" w:cs="宋体" w:asciiTheme="minorEastAsia" w:hAnsiTheme="minorEastAsia" w:eastAsiaTheme="minorEastAsia"/>
          <w:b/>
          <w:color w:val="auto"/>
          <w:sz w:val="30"/>
          <w:szCs w:val="30"/>
        </w:rPr>
        <w:t>采购项目</w:t>
      </w:r>
      <w:bookmarkEnd w:id="0"/>
      <w:bookmarkEnd w:id="1"/>
      <w:bookmarkStart w:id="3" w:name="_Toc27630"/>
      <w:r>
        <w:rPr>
          <w:rFonts w:hint="eastAsia" w:cs="宋体" w:asciiTheme="minorEastAsia" w:hAnsiTheme="minorEastAsia" w:eastAsiaTheme="minorEastAsia"/>
          <w:b/>
          <w:color w:val="auto"/>
          <w:sz w:val="30"/>
          <w:szCs w:val="30"/>
        </w:rPr>
        <w:t>技术、</w:t>
      </w:r>
      <w:r>
        <w:rPr>
          <w:rFonts w:cs="宋体" w:asciiTheme="minorEastAsia" w:hAnsiTheme="minorEastAsia" w:eastAsiaTheme="minorEastAsia"/>
          <w:b/>
          <w:color w:val="auto"/>
          <w:sz w:val="30"/>
          <w:szCs w:val="30"/>
        </w:rPr>
        <w:t>服务要求</w:t>
      </w:r>
      <w:bookmarkEnd w:id="2"/>
    </w:p>
    <w:bookmarkEnd w:id="3"/>
    <w:p w14:paraId="44BFF2F4">
      <w:pPr>
        <w:pStyle w:val="6"/>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（注：本章的技术、服务及其他要求中，带“★”的要求为实质性要求。</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、代理机构应当根据项目实际要求合理设定，并在第五章符合性审查中明确响应要求。）</w:t>
      </w:r>
    </w:p>
    <w:p w14:paraId="45071ADE">
      <w:pPr>
        <w:pStyle w:val="6"/>
        <w:spacing w:line="360" w:lineRule="auto"/>
        <w:jc w:val="left"/>
        <w:outlineLvl w:val="1"/>
        <w:rPr>
          <w:rFonts w:hint="eastAsia" w:ascii="宋体" w:hAnsi="宋体" w:eastAsia="宋体" w:cs="宋体"/>
          <w:sz w:val="24"/>
          <w:szCs w:val="24"/>
          <w:highlight w:val="none"/>
          <w:lang w:eastAsia="zh-CN"/>
        </w:rPr>
      </w:pPr>
      <w:r>
        <w:rPr>
          <w:rFonts w:hint="eastAsia" w:ascii="宋体" w:hAnsi="宋体" w:eastAsia="宋体" w:cs="宋体"/>
          <w:b/>
          <w:sz w:val="24"/>
          <w:szCs w:val="24"/>
          <w:highlight w:val="none"/>
          <w:lang w:eastAsia="zh-CN"/>
        </w:rPr>
        <w:t>一、</w:t>
      </w:r>
      <w:r>
        <w:rPr>
          <w:rFonts w:hint="eastAsia" w:ascii="宋体" w:hAnsi="宋体" w:eastAsia="宋体" w:cs="宋体"/>
          <w:b/>
          <w:sz w:val="24"/>
          <w:szCs w:val="24"/>
          <w:highlight w:val="none"/>
          <w:lang w:val="en-US" w:eastAsia="zh-CN"/>
        </w:rPr>
        <w:t>标的情况</w:t>
      </w:r>
    </w:p>
    <w:tbl>
      <w:tblPr>
        <w:tblStyle w:val="3"/>
        <w:tblW w:w="9361" w:type="dxa"/>
        <w:tblInd w:w="0" w:type="dxa"/>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shd w:val="clear" w:color="auto" w:fill="auto"/>
        <w:tblLayout w:type="fixed"/>
        <w:tblCellMar>
          <w:top w:w="0" w:type="dxa"/>
          <w:left w:w="0" w:type="dxa"/>
          <w:bottom w:w="0" w:type="dxa"/>
          <w:right w:w="0" w:type="dxa"/>
        </w:tblCellMar>
      </w:tblPr>
      <w:tblGrid>
        <w:gridCol w:w="1223"/>
        <w:gridCol w:w="1252"/>
        <w:gridCol w:w="1238"/>
        <w:gridCol w:w="1581"/>
        <w:gridCol w:w="1237"/>
        <w:gridCol w:w="1246"/>
        <w:gridCol w:w="1584"/>
      </w:tblGrid>
      <w:tr w14:paraId="6E341B7E">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shd w:val="clear" w:color="auto" w:fill="auto"/>
          <w:tblCellMar>
            <w:top w:w="0" w:type="dxa"/>
            <w:left w:w="0" w:type="dxa"/>
            <w:bottom w:w="0" w:type="dxa"/>
            <w:right w:w="0" w:type="dxa"/>
          </w:tblCellMar>
        </w:tblPrEx>
        <w:trPr>
          <w:trHeight w:val="1095" w:hRule="atLeast"/>
        </w:trPr>
        <w:tc>
          <w:tcPr>
            <w:tcW w:w="1223" w:type="dxa"/>
            <w:tcBorders>
              <w:tl2br w:val="nil"/>
              <w:tr2bl w:val="nil"/>
            </w:tcBorders>
            <w:shd w:val="clear" w:color="auto" w:fill="auto"/>
            <w:vAlign w:val="center"/>
          </w:tcPr>
          <w:p w14:paraId="11A6BE7E">
            <w:pPr>
              <w:pStyle w:val="7"/>
              <w:spacing w:line="360" w:lineRule="auto"/>
              <w:ind w:left="0" w:leftChars="0" w:firstLine="0" w:firstLineChars="0"/>
              <w:jc w:val="center"/>
              <w:rPr>
                <w:rFonts w:hint="eastAsia" w:ascii="宋体" w:hAnsi="宋体" w:eastAsia="宋体" w:cs="宋体"/>
                <w:b/>
                <w:bCs w:val="0"/>
                <w:sz w:val="24"/>
                <w:szCs w:val="24"/>
              </w:rPr>
            </w:pPr>
            <w:r>
              <w:rPr>
                <w:rFonts w:hint="eastAsia" w:ascii="宋体" w:hAnsi="宋体" w:eastAsia="宋体" w:cs="宋体"/>
                <w:b/>
                <w:bCs w:val="0"/>
                <w:sz w:val="24"/>
                <w:szCs w:val="24"/>
              </w:rPr>
              <w:t>包号</w:t>
            </w:r>
          </w:p>
        </w:tc>
        <w:tc>
          <w:tcPr>
            <w:tcW w:w="1252" w:type="dxa"/>
            <w:tcBorders>
              <w:tl2br w:val="nil"/>
              <w:tr2bl w:val="nil"/>
            </w:tcBorders>
            <w:shd w:val="clear" w:color="auto" w:fill="auto"/>
            <w:vAlign w:val="center"/>
          </w:tcPr>
          <w:p w14:paraId="2FB2A4DC">
            <w:pPr>
              <w:pStyle w:val="7"/>
              <w:spacing w:line="360" w:lineRule="auto"/>
              <w:ind w:left="0" w:leftChars="0" w:firstLine="0" w:firstLineChars="0"/>
              <w:jc w:val="center"/>
              <w:rPr>
                <w:rFonts w:hint="eastAsia" w:ascii="宋体" w:hAnsi="宋体" w:eastAsia="宋体" w:cs="宋体"/>
                <w:b/>
                <w:bCs w:val="0"/>
                <w:sz w:val="24"/>
                <w:szCs w:val="24"/>
              </w:rPr>
            </w:pPr>
            <w:r>
              <w:rPr>
                <w:rFonts w:hint="eastAsia" w:ascii="宋体" w:hAnsi="宋体" w:eastAsia="宋体" w:cs="宋体"/>
                <w:b/>
                <w:bCs w:val="0"/>
                <w:sz w:val="24"/>
                <w:szCs w:val="24"/>
              </w:rPr>
              <w:t>编号</w:t>
            </w:r>
          </w:p>
        </w:tc>
        <w:tc>
          <w:tcPr>
            <w:tcW w:w="1238" w:type="dxa"/>
            <w:tcBorders>
              <w:tl2br w:val="nil"/>
              <w:tr2bl w:val="nil"/>
            </w:tcBorders>
            <w:shd w:val="clear" w:color="auto" w:fill="auto"/>
            <w:vAlign w:val="center"/>
          </w:tcPr>
          <w:p w14:paraId="3B223AB3">
            <w:pPr>
              <w:pStyle w:val="7"/>
              <w:spacing w:line="360" w:lineRule="auto"/>
              <w:ind w:left="0" w:leftChars="0" w:firstLine="0" w:firstLineChars="0"/>
              <w:jc w:val="center"/>
              <w:rPr>
                <w:rFonts w:hint="eastAsia" w:ascii="宋体" w:hAnsi="宋体" w:eastAsia="宋体" w:cs="宋体"/>
                <w:b/>
                <w:bCs w:val="0"/>
                <w:sz w:val="24"/>
                <w:szCs w:val="24"/>
              </w:rPr>
            </w:pPr>
            <w:r>
              <w:rPr>
                <w:rFonts w:hint="eastAsia" w:ascii="宋体" w:hAnsi="宋体" w:eastAsia="宋体" w:cs="宋体"/>
                <w:b/>
                <w:bCs w:val="0"/>
                <w:sz w:val="24"/>
                <w:szCs w:val="24"/>
              </w:rPr>
              <w:t>标的名称</w:t>
            </w:r>
          </w:p>
        </w:tc>
        <w:tc>
          <w:tcPr>
            <w:tcW w:w="1581" w:type="dxa"/>
            <w:tcBorders>
              <w:tl2br w:val="nil"/>
              <w:tr2bl w:val="nil"/>
            </w:tcBorders>
            <w:shd w:val="clear" w:color="auto" w:fill="auto"/>
            <w:vAlign w:val="center"/>
          </w:tcPr>
          <w:p w14:paraId="148CD438">
            <w:pPr>
              <w:pStyle w:val="7"/>
              <w:spacing w:line="360" w:lineRule="auto"/>
              <w:ind w:left="0" w:leftChars="0" w:firstLine="0" w:firstLineChars="0"/>
              <w:jc w:val="center"/>
              <w:rPr>
                <w:rFonts w:hint="eastAsia" w:ascii="宋体" w:hAnsi="宋体" w:eastAsia="宋体" w:cs="宋体"/>
                <w:b/>
                <w:bCs w:val="0"/>
                <w:sz w:val="24"/>
                <w:szCs w:val="24"/>
              </w:rPr>
            </w:pPr>
            <w:r>
              <w:rPr>
                <w:rFonts w:hint="eastAsia" w:ascii="宋体" w:hAnsi="宋体" w:eastAsia="宋体" w:cs="宋体"/>
                <w:b/>
                <w:bCs w:val="0"/>
                <w:sz w:val="24"/>
                <w:szCs w:val="24"/>
              </w:rPr>
              <w:t>单价（元）</w:t>
            </w:r>
          </w:p>
        </w:tc>
        <w:tc>
          <w:tcPr>
            <w:tcW w:w="1237" w:type="dxa"/>
            <w:tcBorders>
              <w:tl2br w:val="nil"/>
              <w:tr2bl w:val="nil"/>
            </w:tcBorders>
            <w:shd w:val="clear" w:color="auto" w:fill="auto"/>
            <w:vAlign w:val="center"/>
          </w:tcPr>
          <w:p w14:paraId="1AAD2892">
            <w:pPr>
              <w:pStyle w:val="7"/>
              <w:spacing w:line="360" w:lineRule="auto"/>
              <w:ind w:left="0" w:leftChars="0" w:firstLine="0" w:firstLineChars="0"/>
              <w:jc w:val="center"/>
              <w:rPr>
                <w:rFonts w:hint="eastAsia" w:ascii="宋体" w:hAnsi="宋体" w:eastAsia="宋体" w:cs="宋体"/>
                <w:b/>
                <w:bCs w:val="0"/>
                <w:sz w:val="24"/>
                <w:szCs w:val="24"/>
              </w:rPr>
            </w:pPr>
            <w:r>
              <w:rPr>
                <w:rFonts w:hint="eastAsia" w:ascii="宋体" w:hAnsi="宋体" w:eastAsia="宋体" w:cs="宋体"/>
                <w:b/>
                <w:bCs w:val="0"/>
                <w:sz w:val="24"/>
                <w:szCs w:val="24"/>
              </w:rPr>
              <w:t>数量</w:t>
            </w:r>
          </w:p>
        </w:tc>
        <w:tc>
          <w:tcPr>
            <w:tcW w:w="1246" w:type="dxa"/>
            <w:tcBorders>
              <w:tl2br w:val="nil"/>
              <w:tr2bl w:val="nil"/>
            </w:tcBorders>
            <w:shd w:val="clear" w:color="auto" w:fill="auto"/>
            <w:vAlign w:val="center"/>
          </w:tcPr>
          <w:p w14:paraId="410F24E8">
            <w:pPr>
              <w:pStyle w:val="7"/>
              <w:spacing w:line="360" w:lineRule="auto"/>
              <w:ind w:left="0" w:leftChars="0" w:firstLine="0" w:firstLineChars="0"/>
              <w:jc w:val="center"/>
              <w:rPr>
                <w:rFonts w:hint="eastAsia" w:ascii="宋体" w:hAnsi="宋体" w:eastAsia="宋体" w:cs="宋体"/>
                <w:b/>
                <w:bCs w:val="0"/>
                <w:sz w:val="24"/>
                <w:szCs w:val="24"/>
              </w:rPr>
            </w:pPr>
            <w:r>
              <w:rPr>
                <w:rFonts w:hint="eastAsia" w:ascii="宋体" w:hAnsi="宋体" w:eastAsia="宋体" w:cs="宋体"/>
                <w:b/>
                <w:bCs w:val="0"/>
                <w:sz w:val="24"/>
                <w:szCs w:val="24"/>
              </w:rPr>
              <w:t>计量单位</w:t>
            </w:r>
          </w:p>
        </w:tc>
        <w:tc>
          <w:tcPr>
            <w:tcW w:w="1584" w:type="dxa"/>
            <w:tcBorders>
              <w:tl2br w:val="nil"/>
              <w:tr2bl w:val="nil"/>
            </w:tcBorders>
            <w:shd w:val="clear" w:color="auto" w:fill="auto"/>
            <w:vAlign w:val="center"/>
          </w:tcPr>
          <w:p w14:paraId="6790F307">
            <w:pPr>
              <w:pStyle w:val="7"/>
              <w:spacing w:line="360" w:lineRule="auto"/>
              <w:ind w:left="0" w:leftChars="0" w:firstLine="0" w:firstLineChars="0"/>
              <w:jc w:val="center"/>
              <w:rPr>
                <w:rFonts w:hint="eastAsia" w:ascii="宋体" w:hAnsi="宋体" w:eastAsia="宋体" w:cs="宋体"/>
                <w:b/>
                <w:bCs w:val="0"/>
                <w:sz w:val="24"/>
                <w:szCs w:val="24"/>
              </w:rPr>
            </w:pPr>
            <w:r>
              <w:rPr>
                <w:rFonts w:hint="eastAsia" w:ascii="宋体" w:hAnsi="宋体" w:eastAsia="宋体" w:cs="宋体"/>
                <w:b/>
                <w:bCs w:val="0"/>
                <w:sz w:val="24"/>
                <w:szCs w:val="24"/>
                <w:lang w:val="en-US" w:eastAsia="zh-CN"/>
              </w:rPr>
              <w:t>标的金额</w:t>
            </w:r>
            <w:r>
              <w:rPr>
                <w:rFonts w:hint="eastAsia" w:ascii="宋体" w:hAnsi="宋体" w:eastAsia="宋体" w:cs="宋体"/>
                <w:b/>
                <w:bCs w:val="0"/>
                <w:sz w:val="24"/>
                <w:szCs w:val="24"/>
              </w:rPr>
              <w:t>（元）</w:t>
            </w:r>
          </w:p>
        </w:tc>
      </w:tr>
      <w:tr w14:paraId="59514E7B">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shd w:val="clear" w:color="auto" w:fill="auto"/>
          <w:tblCellMar>
            <w:top w:w="0" w:type="dxa"/>
            <w:left w:w="0" w:type="dxa"/>
            <w:bottom w:w="0" w:type="dxa"/>
            <w:right w:w="0" w:type="dxa"/>
          </w:tblCellMar>
        </w:tblPrEx>
        <w:trPr>
          <w:trHeight w:val="550" w:hRule="atLeast"/>
        </w:trPr>
        <w:tc>
          <w:tcPr>
            <w:tcW w:w="1223" w:type="dxa"/>
            <w:tcBorders>
              <w:tl2br w:val="nil"/>
              <w:tr2bl w:val="nil"/>
            </w:tcBorders>
            <w:shd w:val="clear" w:color="auto" w:fill="auto"/>
            <w:vAlign w:val="center"/>
          </w:tcPr>
          <w:p w14:paraId="4C258956">
            <w:pPr>
              <w:pStyle w:val="7"/>
              <w:spacing w:line="360" w:lineRule="auto"/>
              <w:ind w:left="0" w:leftChars="0"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eastAsia="zh-CN"/>
              </w:rPr>
              <w:t>采购包</w:t>
            </w:r>
            <w:r>
              <w:rPr>
                <w:rFonts w:hint="eastAsia" w:ascii="宋体" w:hAnsi="宋体" w:eastAsia="宋体" w:cs="宋体"/>
                <w:b w:val="0"/>
                <w:bCs/>
                <w:sz w:val="24"/>
                <w:szCs w:val="24"/>
                <w:lang w:val="en-US" w:eastAsia="zh-CN"/>
              </w:rPr>
              <w:t>1</w:t>
            </w:r>
          </w:p>
        </w:tc>
        <w:tc>
          <w:tcPr>
            <w:tcW w:w="1252" w:type="dxa"/>
            <w:tcBorders>
              <w:tl2br w:val="nil"/>
              <w:tr2bl w:val="nil"/>
            </w:tcBorders>
            <w:shd w:val="clear" w:color="auto" w:fill="auto"/>
            <w:vAlign w:val="center"/>
          </w:tcPr>
          <w:p w14:paraId="468BB486">
            <w:pPr>
              <w:pStyle w:val="7"/>
              <w:spacing w:line="360" w:lineRule="auto"/>
              <w:ind w:left="0" w:leftChars="0"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rPr>
              <w:t>1-1</w:t>
            </w:r>
          </w:p>
        </w:tc>
        <w:tc>
          <w:tcPr>
            <w:tcW w:w="1238" w:type="dxa"/>
            <w:tcBorders>
              <w:tl2br w:val="nil"/>
              <w:tr2bl w:val="nil"/>
            </w:tcBorders>
            <w:shd w:val="clear" w:color="auto" w:fill="auto"/>
            <w:vAlign w:val="center"/>
          </w:tcPr>
          <w:p w14:paraId="3DD19446">
            <w:pPr>
              <w:pStyle w:val="7"/>
              <w:spacing w:line="360" w:lineRule="auto"/>
              <w:ind w:left="0" w:leftChars="0"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化学试剂及危化品</w:t>
            </w:r>
          </w:p>
        </w:tc>
        <w:tc>
          <w:tcPr>
            <w:tcW w:w="1581" w:type="dxa"/>
            <w:tcBorders>
              <w:tl2br w:val="nil"/>
              <w:tr2bl w:val="nil"/>
            </w:tcBorders>
            <w:shd w:val="clear" w:color="auto" w:fill="auto"/>
            <w:vAlign w:val="center"/>
          </w:tcPr>
          <w:p w14:paraId="11C32A06">
            <w:pPr>
              <w:pStyle w:val="7"/>
              <w:spacing w:line="360" w:lineRule="auto"/>
              <w:ind w:left="0" w:leftChars="0"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80000</w:t>
            </w:r>
          </w:p>
        </w:tc>
        <w:tc>
          <w:tcPr>
            <w:tcW w:w="1237" w:type="dxa"/>
            <w:tcBorders>
              <w:tl2br w:val="nil"/>
              <w:tr2bl w:val="nil"/>
            </w:tcBorders>
            <w:shd w:val="clear" w:color="auto" w:fill="auto"/>
            <w:vAlign w:val="center"/>
          </w:tcPr>
          <w:p w14:paraId="6C9E3F3F">
            <w:pPr>
              <w:pStyle w:val="7"/>
              <w:spacing w:line="360" w:lineRule="auto"/>
              <w:ind w:left="0" w:leftChars="0"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w:t>
            </w:r>
          </w:p>
        </w:tc>
        <w:tc>
          <w:tcPr>
            <w:tcW w:w="1246" w:type="dxa"/>
            <w:tcBorders>
              <w:tl2br w:val="nil"/>
              <w:tr2bl w:val="nil"/>
            </w:tcBorders>
            <w:shd w:val="clear" w:color="auto" w:fill="auto"/>
            <w:vAlign w:val="center"/>
          </w:tcPr>
          <w:p w14:paraId="156E42FD">
            <w:pPr>
              <w:pStyle w:val="7"/>
              <w:spacing w:line="360" w:lineRule="auto"/>
              <w:ind w:left="0" w:leftChars="0" w:firstLine="0" w:firstLineChars="0"/>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lang w:val="en-US" w:eastAsia="zh-CN"/>
              </w:rPr>
              <w:t>批</w:t>
            </w:r>
          </w:p>
        </w:tc>
        <w:tc>
          <w:tcPr>
            <w:tcW w:w="1584" w:type="dxa"/>
            <w:tcBorders>
              <w:tl2br w:val="nil"/>
              <w:tr2bl w:val="nil"/>
            </w:tcBorders>
            <w:shd w:val="clear" w:color="auto" w:fill="auto"/>
            <w:vAlign w:val="center"/>
          </w:tcPr>
          <w:p w14:paraId="710D82B2">
            <w:pPr>
              <w:pStyle w:val="7"/>
              <w:spacing w:line="360" w:lineRule="auto"/>
              <w:ind w:left="0" w:leftChars="0"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80000</w:t>
            </w:r>
          </w:p>
        </w:tc>
      </w:tr>
      <w:tr w14:paraId="3EDEF532">
        <w:tblPrEx>
          <w:tblBorders>
            <w:top w:val="single" w:color="333333" w:sz="6" w:space="0"/>
            <w:left w:val="single" w:color="333333" w:sz="6" w:space="0"/>
            <w:bottom w:val="single" w:color="333333" w:sz="6" w:space="0"/>
            <w:right w:val="single" w:color="333333" w:sz="6" w:space="0"/>
            <w:insideH w:val="single" w:color="333333" w:sz="6" w:space="0"/>
            <w:insideV w:val="single" w:color="333333" w:sz="6" w:space="0"/>
          </w:tblBorders>
          <w:shd w:val="clear" w:color="auto" w:fill="auto"/>
          <w:tblCellMar>
            <w:top w:w="0" w:type="dxa"/>
            <w:left w:w="0" w:type="dxa"/>
            <w:bottom w:w="0" w:type="dxa"/>
            <w:right w:w="0" w:type="dxa"/>
          </w:tblCellMar>
        </w:tblPrEx>
        <w:trPr>
          <w:trHeight w:val="550" w:hRule="atLeast"/>
        </w:trPr>
        <w:tc>
          <w:tcPr>
            <w:tcW w:w="1223" w:type="dxa"/>
            <w:tcBorders>
              <w:tl2br w:val="nil"/>
              <w:tr2bl w:val="nil"/>
            </w:tcBorders>
            <w:shd w:val="clear" w:color="auto" w:fill="auto"/>
            <w:vAlign w:val="center"/>
          </w:tcPr>
          <w:p w14:paraId="1A36EA43">
            <w:pPr>
              <w:pStyle w:val="7"/>
              <w:spacing w:line="360" w:lineRule="auto"/>
              <w:ind w:left="0" w:leftChars="0" w:firstLine="0" w:firstLineChars="0"/>
              <w:jc w:val="center"/>
              <w:rPr>
                <w:rFonts w:hint="eastAsia" w:ascii="宋体" w:hAnsi="宋体" w:eastAsia="宋体" w:cs="宋体"/>
                <w:b w:val="0"/>
                <w:bCs/>
                <w:sz w:val="24"/>
                <w:szCs w:val="24"/>
              </w:rPr>
            </w:pPr>
            <w:r>
              <w:rPr>
                <w:rFonts w:hint="eastAsia" w:ascii="宋体" w:hAnsi="宋体" w:eastAsia="宋体" w:cs="宋体"/>
                <w:b w:val="0"/>
                <w:bCs/>
                <w:sz w:val="24"/>
                <w:szCs w:val="24"/>
                <w:lang w:eastAsia="zh-CN"/>
              </w:rPr>
              <w:t>采购包</w:t>
            </w:r>
            <w:r>
              <w:rPr>
                <w:rFonts w:hint="eastAsia" w:ascii="宋体" w:hAnsi="宋体" w:eastAsia="宋体" w:cs="宋体"/>
                <w:b w:val="0"/>
                <w:bCs/>
                <w:sz w:val="24"/>
                <w:szCs w:val="24"/>
              </w:rPr>
              <w:t>2</w:t>
            </w:r>
          </w:p>
        </w:tc>
        <w:tc>
          <w:tcPr>
            <w:tcW w:w="1252" w:type="dxa"/>
            <w:tcBorders>
              <w:tl2br w:val="nil"/>
              <w:tr2bl w:val="nil"/>
            </w:tcBorders>
            <w:shd w:val="clear" w:color="auto" w:fill="auto"/>
            <w:vAlign w:val="center"/>
          </w:tcPr>
          <w:p w14:paraId="47FC9B5D">
            <w:pPr>
              <w:pStyle w:val="7"/>
              <w:spacing w:line="360" w:lineRule="auto"/>
              <w:ind w:left="0" w:leftChars="0"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2-1</w:t>
            </w:r>
          </w:p>
        </w:tc>
        <w:tc>
          <w:tcPr>
            <w:tcW w:w="1238" w:type="dxa"/>
            <w:tcBorders>
              <w:tl2br w:val="nil"/>
              <w:tr2bl w:val="nil"/>
            </w:tcBorders>
            <w:shd w:val="clear" w:color="auto" w:fill="auto"/>
            <w:vAlign w:val="center"/>
          </w:tcPr>
          <w:p w14:paraId="73EDA6BF">
            <w:pPr>
              <w:pStyle w:val="7"/>
              <w:spacing w:line="360" w:lineRule="auto"/>
              <w:ind w:left="0" w:leftChars="0"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消毒卫生湿巾</w:t>
            </w:r>
          </w:p>
        </w:tc>
        <w:tc>
          <w:tcPr>
            <w:tcW w:w="1581" w:type="dxa"/>
            <w:tcBorders>
              <w:tl2br w:val="nil"/>
              <w:tr2bl w:val="nil"/>
            </w:tcBorders>
            <w:shd w:val="clear" w:color="auto" w:fill="auto"/>
            <w:vAlign w:val="center"/>
          </w:tcPr>
          <w:p w14:paraId="2ED94DC1">
            <w:pPr>
              <w:pStyle w:val="7"/>
              <w:spacing w:line="360" w:lineRule="auto"/>
              <w:ind w:left="0" w:leftChars="0"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100000</w:t>
            </w:r>
          </w:p>
        </w:tc>
        <w:tc>
          <w:tcPr>
            <w:tcW w:w="1237" w:type="dxa"/>
            <w:tcBorders>
              <w:tl2br w:val="nil"/>
              <w:tr2bl w:val="nil"/>
            </w:tcBorders>
            <w:shd w:val="clear" w:color="auto" w:fill="auto"/>
            <w:vAlign w:val="center"/>
          </w:tcPr>
          <w:p w14:paraId="2A143DF0">
            <w:pPr>
              <w:pStyle w:val="7"/>
              <w:spacing w:line="360" w:lineRule="auto"/>
              <w:ind w:left="0" w:leftChars="0"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w:t>
            </w:r>
          </w:p>
        </w:tc>
        <w:tc>
          <w:tcPr>
            <w:tcW w:w="1246" w:type="dxa"/>
            <w:tcBorders>
              <w:tl2br w:val="nil"/>
              <w:tr2bl w:val="nil"/>
            </w:tcBorders>
            <w:shd w:val="clear" w:color="auto" w:fill="auto"/>
            <w:vAlign w:val="center"/>
          </w:tcPr>
          <w:p w14:paraId="60BA0903">
            <w:pPr>
              <w:pStyle w:val="7"/>
              <w:spacing w:line="360" w:lineRule="auto"/>
              <w:ind w:left="0" w:leftChars="0"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批</w:t>
            </w:r>
          </w:p>
        </w:tc>
        <w:tc>
          <w:tcPr>
            <w:tcW w:w="1584" w:type="dxa"/>
            <w:tcBorders>
              <w:tl2br w:val="nil"/>
              <w:tr2bl w:val="nil"/>
            </w:tcBorders>
            <w:shd w:val="clear" w:color="auto" w:fill="auto"/>
            <w:vAlign w:val="center"/>
          </w:tcPr>
          <w:p w14:paraId="27C54FA0">
            <w:pPr>
              <w:pStyle w:val="7"/>
              <w:spacing w:line="360" w:lineRule="auto"/>
              <w:ind w:left="0" w:leftChars="0" w:firstLine="0" w:firstLineChars="0"/>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100000</w:t>
            </w:r>
          </w:p>
        </w:tc>
      </w:tr>
    </w:tbl>
    <w:p w14:paraId="25FD8A74">
      <w:pPr>
        <w:pStyle w:val="6"/>
        <w:spacing w:line="360" w:lineRule="auto"/>
        <w:jc w:val="left"/>
        <w:rPr>
          <w:rFonts w:hint="eastAsia" w:ascii="宋体" w:hAnsi="宋体" w:eastAsia="宋体" w:cs="宋体"/>
          <w:sz w:val="24"/>
          <w:szCs w:val="24"/>
        </w:rPr>
      </w:pPr>
    </w:p>
    <w:p w14:paraId="77F25CA6">
      <w:pPr>
        <w:pStyle w:val="6"/>
        <w:spacing w:line="360" w:lineRule="auto"/>
        <w:jc w:val="left"/>
        <w:outlineLvl w:val="1"/>
        <w:rPr>
          <w:rFonts w:hint="eastAsia" w:ascii="宋体" w:hAnsi="宋体" w:eastAsia="宋体" w:cs="宋体"/>
          <w:sz w:val="24"/>
          <w:szCs w:val="24"/>
          <w:lang w:eastAsia="zh-CN"/>
        </w:rPr>
      </w:pPr>
      <w:r>
        <w:rPr>
          <w:rFonts w:hint="eastAsia" w:ascii="宋体" w:hAnsi="宋体" w:eastAsia="宋体" w:cs="宋体"/>
          <w:b/>
          <w:sz w:val="24"/>
          <w:szCs w:val="24"/>
          <w:lang w:eastAsia="zh-CN"/>
        </w:rPr>
        <w:t>二、</w:t>
      </w:r>
      <w:r>
        <w:rPr>
          <w:rFonts w:hint="eastAsia" w:ascii="宋体" w:hAnsi="宋体" w:eastAsia="宋体" w:cs="宋体"/>
          <w:b/>
          <w:sz w:val="24"/>
          <w:szCs w:val="24"/>
        </w:rPr>
        <w:t>技术要求</w:t>
      </w:r>
    </w:p>
    <w:p w14:paraId="7349BDC7">
      <w:pPr>
        <w:pStyle w:val="6"/>
        <w:spacing w:line="360" w:lineRule="auto"/>
        <w:jc w:val="left"/>
        <w:outlineLvl w:val="2"/>
        <w:rPr>
          <w:rFonts w:hint="eastAsia" w:ascii="宋体" w:hAnsi="宋体" w:eastAsia="宋体" w:cs="宋体"/>
          <w:b/>
          <w:bCs/>
          <w:sz w:val="24"/>
          <w:szCs w:val="24"/>
        </w:rPr>
      </w:pPr>
      <w:r>
        <w:rPr>
          <w:rFonts w:hint="eastAsia" w:ascii="宋体" w:hAnsi="宋体" w:eastAsia="宋体" w:cs="宋体"/>
          <w:b/>
          <w:bCs/>
          <w:sz w:val="24"/>
          <w:szCs w:val="24"/>
        </w:rPr>
        <w:t>采购包1：</w:t>
      </w:r>
    </w:p>
    <w:tbl>
      <w:tblPr>
        <w:tblStyle w:val="3"/>
        <w:tblW w:w="91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553"/>
        <w:gridCol w:w="826"/>
        <w:gridCol w:w="1108"/>
        <w:gridCol w:w="2233"/>
        <w:gridCol w:w="1707"/>
        <w:gridCol w:w="1694"/>
      </w:tblGrid>
      <w:tr w14:paraId="06869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DCA68">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通用名</w:t>
            </w:r>
            <w:bookmarkStart w:id="4" w:name="OLE_LINK3"/>
            <w:r>
              <w:rPr>
                <w:rFonts w:hint="eastAsia" w:ascii="宋体" w:hAnsi="宋体" w:eastAsia="宋体" w:cs="宋体"/>
                <w:kern w:val="0"/>
                <w:sz w:val="24"/>
                <w:szCs w:val="24"/>
                <w:lang w:val="zh-CN" w:bidi="zh-CN"/>
              </w:rPr>
              <w:t>★</w:t>
            </w:r>
            <w:bookmarkEnd w:id="4"/>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F749D">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规格</w:t>
            </w:r>
            <w:r>
              <w:rPr>
                <w:rFonts w:hint="eastAsia" w:ascii="宋体" w:hAnsi="宋体" w:eastAsia="宋体" w:cs="宋体"/>
                <w:kern w:val="0"/>
                <w:sz w:val="24"/>
                <w:szCs w:val="24"/>
                <w:lang w:val="zh-CN" w:bidi="zh-CN"/>
              </w:rPr>
              <w:t>★</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F1A4">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单位</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D160A">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参数</w:t>
            </w:r>
            <w:r>
              <w:rPr>
                <w:rFonts w:hint="eastAsia" w:ascii="宋体" w:hAnsi="宋体" w:eastAsia="宋体" w:cs="宋体"/>
                <w:kern w:val="0"/>
                <w:sz w:val="24"/>
                <w:szCs w:val="24"/>
                <w:lang w:val="zh-CN" w:bidi="zh-CN"/>
              </w:rPr>
              <w:t>★</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EA81">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最高限价</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lang w:val="en-US" w:eastAsia="zh-CN" w:bidi="zh-CN"/>
              </w:rPr>
              <w:t>（元）</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E238">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价格权重</w:t>
            </w:r>
          </w:p>
        </w:tc>
      </w:tr>
      <w:tr w14:paraId="4D636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A61E6">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白凡士林</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7DE0">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500g</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69168">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EC98">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药用辅料</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8431">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13元/瓶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AC6C3">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0.50%</w:t>
            </w:r>
          </w:p>
        </w:tc>
      </w:tr>
      <w:tr w14:paraId="08DC1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3F02D">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石蜡（药用）</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06C9B">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25kg</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8EE1A">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840E">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药用辅料</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63C9">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875元/桶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9C7F">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2.22%</w:t>
            </w:r>
          </w:p>
        </w:tc>
      </w:tr>
      <w:tr w14:paraId="527BF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C57B">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碘化钾(药用)</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4AA9">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500g</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FB58">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3FD66">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药用辅料</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F4585">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560元/瓶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63082">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0.71%</w:t>
            </w:r>
          </w:p>
        </w:tc>
      </w:tr>
      <w:tr w14:paraId="61011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ACB90">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氯化钠</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903FC">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AR500g</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DF028">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733D7">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AR，含量≥99.0%</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3E7C">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10元/瓶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AB358">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0.01%</w:t>
            </w:r>
          </w:p>
        </w:tc>
      </w:tr>
      <w:tr w14:paraId="6FF4F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3D790">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碳酸锂</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D8814">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AR500g</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26426">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0315">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AR，碳酸锂含量≥99.0%</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ADE79">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450元/瓶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56B22">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0.57%</w:t>
            </w:r>
          </w:p>
        </w:tc>
      </w:tr>
      <w:tr w14:paraId="516F1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A022">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冰醋酸(冰乙酸)</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CF875">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AR500ml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4751">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EFD6">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AR，冰醋酸含量≥99.5%</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FBC6">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21元/瓶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80FB7">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0.16%</w:t>
            </w:r>
          </w:p>
        </w:tc>
      </w:tr>
      <w:tr w14:paraId="5DD3A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FE8B">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丙三醇</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10333">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AR500ml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0E3D8">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9E22">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AR，丙三醇含量≥99.0%</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929B">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23.5元/瓶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C0460">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0.03%</w:t>
            </w:r>
          </w:p>
        </w:tc>
      </w:tr>
      <w:tr w14:paraId="4F72F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7A9EA">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次氯酸钠</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8172">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500ml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6389">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B9CA2">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AR，活性氯含量≥5.5%，游离碱含量5~6%</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8287">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24.7元/瓶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FDF3">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1.25%</w:t>
            </w:r>
          </w:p>
        </w:tc>
      </w:tr>
      <w:tr w14:paraId="1D4FE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F05F9">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碘</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18078">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500g</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F5D2">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01A9">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药用辅料（原料药）</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4D17">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570元/瓶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F47B1">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1.45%</w:t>
            </w:r>
          </w:p>
        </w:tc>
      </w:tr>
      <w:tr w14:paraId="6CC1A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4FD1">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二甲苯</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56027">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AR500ml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472B">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17385">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AR，二甲苯含量≥99%</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C82B">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13元/瓶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B9D5C">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19.80%</w:t>
            </w:r>
          </w:p>
        </w:tc>
      </w:tr>
      <w:tr w14:paraId="72E50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5A2A2">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甲醇</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C3A43">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AR500ml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44C9">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4F03">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AR，甲醇含量≥99.5%</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BF8BD">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11元/瓶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6CB9">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0.42%</w:t>
            </w:r>
          </w:p>
        </w:tc>
      </w:tr>
      <w:tr w14:paraId="754D4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9136">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甲醛溶液</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9D981">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500ml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2EEED">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67F6">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AR，甲醛含量37.0~40.0%</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318EE">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29元/瓶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14560">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5.52%</w:t>
            </w:r>
          </w:p>
        </w:tc>
      </w:tr>
      <w:tr w14:paraId="77640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D8923">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95%酒精消毒液</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6595">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500ml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7C1AC">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82A0">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乙醇含量93~97%</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3EF48">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6.7元/瓶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F91DF">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27.21%</w:t>
            </w:r>
          </w:p>
        </w:tc>
      </w:tr>
      <w:tr w14:paraId="63DF5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E6196">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氢氧化钾</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F9FD">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AR500g</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8C9B">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E81D2">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AR，氢氧化钾含量≥85%</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0292">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18元/瓶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1947">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0.02%</w:t>
            </w:r>
          </w:p>
        </w:tc>
      </w:tr>
      <w:tr w14:paraId="18173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34B6">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无水乙醇</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5B14">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AR500ml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0FF6">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E870">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AR，乙醇含量≥99.7%</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7211">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13元/瓶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1612">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36.30%</w:t>
            </w:r>
          </w:p>
        </w:tc>
      </w:tr>
      <w:tr w14:paraId="5F691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C2BA">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溴化钾</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B411">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100g</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97193">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B9C6">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药用辅料（溴化钾含量≥99.5%）</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0EAD">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1200元/瓶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D848">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3.05%</w:t>
            </w:r>
          </w:p>
        </w:tc>
      </w:tr>
      <w:tr w14:paraId="1ACE7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499B">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液体石蜡</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2E4D">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500ml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BF0BD">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EDDE6">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药用辅料</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0DD95">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19.5元/瓶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C58D8">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0.40%</w:t>
            </w:r>
          </w:p>
        </w:tc>
      </w:tr>
      <w:tr w14:paraId="41D5E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5AAE6">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无水乙醇</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50217">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AR5L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04EC2">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181BB">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AR，乙醇含量≥99.7%</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13D6">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87元/瓶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45172">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0.11%</w:t>
            </w:r>
          </w:p>
        </w:tc>
      </w:tr>
      <w:tr w14:paraId="172BA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1B74">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95%酒精</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D8BB">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5L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01409">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F5A3">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AR，乙醇含量≥95%</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910AB">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86/桶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C2A9E">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0.11%</w:t>
            </w:r>
          </w:p>
        </w:tc>
      </w:tr>
      <w:tr w14:paraId="66198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DE71">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二甲苯</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54F8">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AR5L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6BCE">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CC3F">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AR，二甲苯含量≥99%</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4603">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98/桶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3CBD5">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0.12%</w:t>
            </w:r>
          </w:p>
        </w:tc>
      </w:tr>
      <w:tr w14:paraId="4E0CE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1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91043">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甲酸</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89F1">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500ml</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8BD5E">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zh-CN" w:eastAsia="zh-CN" w:bidi="zh-CN"/>
              </w:rPr>
            </w:pPr>
            <w:r>
              <w:rPr>
                <w:rFonts w:hint="eastAsia" w:ascii="宋体" w:hAnsi="宋体" w:eastAsia="宋体" w:cs="宋体"/>
                <w:kern w:val="0"/>
                <w:sz w:val="24"/>
                <w:szCs w:val="24"/>
                <w:lang w:val="en-US" w:eastAsia="zh-CN" w:bidi="zh-CN"/>
              </w:rPr>
              <w:t>瓶</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31C25">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AR，甲酸含量≥88%</w:t>
            </w:r>
          </w:p>
        </w:tc>
        <w:tc>
          <w:tcPr>
            <w:tcW w:w="17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88DE">
            <w:pPr>
              <w:keepNext w:val="0"/>
              <w:keepLines w:val="0"/>
              <w:widowControl/>
              <w:suppressLineNumbers w:val="0"/>
              <w:autoSpaceDE w:val="0"/>
              <w:autoSpaceDN w:val="0"/>
              <w:spacing w:before="0" w:after="0" w:line="36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26元/瓶</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DCB1">
            <w:pPr>
              <w:keepNext w:val="0"/>
              <w:keepLines w:val="0"/>
              <w:widowControl/>
              <w:suppressLineNumbers w:val="0"/>
              <w:autoSpaceDE w:val="0"/>
              <w:autoSpaceDN w:val="0"/>
              <w:spacing w:before="0" w:after="0" w:line="360" w:lineRule="auto"/>
              <w:ind w:left="0" w:leftChars="0" w:right="0" w:rightChars="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i w:val="0"/>
                <w:color w:val="000000"/>
                <w:kern w:val="0"/>
                <w:sz w:val="24"/>
                <w:szCs w:val="24"/>
                <w:u w:val="none"/>
                <w:lang w:val="en-US" w:eastAsia="zh-CN" w:bidi="ar"/>
              </w:rPr>
              <w:t>0.03%</w:t>
            </w:r>
          </w:p>
        </w:tc>
      </w:tr>
    </w:tbl>
    <w:p w14:paraId="3DC901AF">
      <w:pPr>
        <w:pStyle w:val="6"/>
        <w:spacing w:line="360" w:lineRule="auto"/>
        <w:jc w:val="left"/>
        <w:outlineLvl w:val="2"/>
        <w:rPr>
          <w:rFonts w:hint="eastAsia" w:ascii="宋体" w:hAnsi="宋体" w:eastAsia="宋体" w:cs="宋体"/>
          <w:b/>
          <w:bCs/>
          <w:sz w:val="24"/>
          <w:szCs w:val="24"/>
        </w:rPr>
      </w:pPr>
    </w:p>
    <w:p w14:paraId="36354724">
      <w:pPr>
        <w:pStyle w:val="6"/>
        <w:spacing w:line="360" w:lineRule="auto"/>
        <w:jc w:val="left"/>
        <w:outlineLvl w:val="2"/>
        <w:rPr>
          <w:rFonts w:hint="eastAsia" w:ascii="宋体" w:hAnsi="宋体" w:eastAsia="宋体" w:cs="宋体"/>
          <w:b/>
          <w:bCs/>
          <w:sz w:val="24"/>
          <w:szCs w:val="24"/>
          <w:lang w:val="en-US" w:eastAsia="zh-CN"/>
        </w:rPr>
      </w:pPr>
      <w:r>
        <w:rPr>
          <w:rFonts w:hint="eastAsia" w:ascii="宋体" w:hAnsi="宋体" w:eastAsia="宋体" w:cs="宋体"/>
          <w:b/>
          <w:bCs/>
          <w:sz w:val="24"/>
          <w:szCs w:val="24"/>
        </w:rPr>
        <w:t>采购包</w:t>
      </w:r>
      <w:r>
        <w:rPr>
          <w:rFonts w:hint="eastAsia" w:ascii="宋体" w:hAnsi="宋体" w:eastAsia="宋体" w:cs="宋体"/>
          <w:b/>
          <w:bCs/>
          <w:sz w:val="24"/>
          <w:szCs w:val="24"/>
          <w:lang w:val="en-US" w:eastAsia="zh-CN"/>
        </w:rPr>
        <w:t>2：</w:t>
      </w:r>
    </w:p>
    <w:tbl>
      <w:tblPr>
        <w:tblStyle w:val="3"/>
        <w:tblW w:w="91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39"/>
        <w:gridCol w:w="1152"/>
        <w:gridCol w:w="621"/>
        <w:gridCol w:w="2932"/>
        <w:gridCol w:w="1402"/>
        <w:gridCol w:w="1675"/>
      </w:tblGrid>
      <w:tr w14:paraId="2EFEA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rPr>
        <w:tc>
          <w:tcPr>
            <w:tcW w:w="1339" w:type="dxa"/>
            <w:tcBorders>
              <w:top w:val="single" w:color="000000" w:sz="4" w:space="0"/>
              <w:left w:val="single" w:color="800000" w:sz="4" w:space="0"/>
              <w:bottom w:val="single" w:color="000000" w:sz="4" w:space="0"/>
              <w:right w:val="single" w:color="000000" w:sz="4" w:space="0"/>
            </w:tcBorders>
            <w:shd w:val="clear" w:color="auto" w:fill="auto"/>
            <w:vAlign w:val="center"/>
          </w:tcPr>
          <w:p w14:paraId="5D904871">
            <w:pPr>
              <w:keepNext w:val="0"/>
              <w:keepLines w:val="0"/>
              <w:widowControl/>
              <w:suppressLineNumbers w:val="0"/>
              <w:autoSpaceDE w:val="0"/>
              <w:autoSpaceDN w:val="0"/>
              <w:spacing w:before="0" w:after="0" w:line="24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fldChar w:fldCharType="begin"/>
            </w:r>
            <w:r>
              <w:rPr>
                <w:rFonts w:hint="eastAsia" w:ascii="宋体" w:hAnsi="宋体" w:eastAsia="宋体" w:cs="宋体"/>
                <w:kern w:val="0"/>
                <w:sz w:val="24"/>
                <w:szCs w:val="24"/>
                <w:lang w:val="en-US" w:eastAsia="zh-CN" w:bidi="zh-CN"/>
              </w:rPr>
              <w:instrText xml:space="preserve"> HYPERLINK "/report/jsp/showReport.jsp?raq=/importitmstat.raq&amp;StartDate=2023-01-01&amp;EndDate=2024-01-05&amp;LocId=897&amp;RetFlag=1&amp;Others=64^^^^^^^^^^^^^^^^^^^^^^0^0^&amp;StartTime=&amp;EndTime=&amp;macro1=InciDesc&amp;macro2=true&amp;order=false" </w:instrText>
            </w:r>
            <w:r>
              <w:rPr>
                <w:rFonts w:hint="eastAsia" w:ascii="宋体" w:hAnsi="宋体" w:eastAsia="宋体" w:cs="宋体"/>
                <w:kern w:val="0"/>
                <w:sz w:val="24"/>
                <w:szCs w:val="24"/>
                <w:lang w:val="en-US" w:eastAsia="zh-CN" w:bidi="zh-CN"/>
              </w:rPr>
              <w:fldChar w:fldCharType="separate"/>
            </w:r>
            <w:r>
              <w:rPr>
                <w:rFonts w:hint="eastAsia" w:ascii="宋体" w:hAnsi="宋体" w:eastAsia="宋体" w:cs="宋体"/>
                <w:kern w:val="0"/>
                <w:sz w:val="24"/>
                <w:szCs w:val="24"/>
                <w:lang w:val="en-US" w:eastAsia="zh-CN" w:bidi="zh-CN"/>
              </w:rPr>
              <w:t>通用名</w:t>
            </w:r>
            <w:r>
              <w:rPr>
                <w:rFonts w:hint="eastAsia" w:ascii="宋体" w:hAnsi="宋体" w:eastAsia="宋体" w:cs="宋体"/>
                <w:kern w:val="0"/>
                <w:sz w:val="24"/>
                <w:szCs w:val="24"/>
                <w:lang w:val="en-US" w:eastAsia="zh-CN" w:bidi="zh-CN"/>
              </w:rPr>
              <w:fldChar w:fldCharType="end"/>
            </w:r>
            <w:r>
              <w:rPr>
                <w:rFonts w:hint="eastAsia" w:ascii="宋体" w:hAnsi="宋体" w:eastAsia="宋体" w:cs="宋体"/>
                <w:sz w:val="24"/>
                <w:szCs w:val="24"/>
                <w:highlight w:val="none"/>
              </w:rPr>
              <w:t>★</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9B8AC">
            <w:pPr>
              <w:keepNext w:val="0"/>
              <w:keepLines w:val="0"/>
              <w:widowControl/>
              <w:suppressLineNumbers w:val="0"/>
              <w:autoSpaceDE w:val="0"/>
              <w:autoSpaceDN w:val="0"/>
              <w:spacing w:before="0" w:after="0" w:line="24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规格</w:t>
            </w:r>
            <w:r>
              <w:rPr>
                <w:rFonts w:hint="eastAsia" w:ascii="宋体" w:hAnsi="宋体" w:eastAsia="宋体" w:cs="宋体"/>
                <w:sz w:val="24"/>
                <w:szCs w:val="24"/>
                <w:highlight w:val="none"/>
              </w:rPr>
              <w:t>★</w:t>
            </w:r>
          </w:p>
        </w:tc>
        <w:tc>
          <w:tcPr>
            <w:tcW w:w="6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55E21">
            <w:pPr>
              <w:keepNext w:val="0"/>
              <w:keepLines w:val="0"/>
              <w:widowControl/>
              <w:suppressLineNumbers w:val="0"/>
              <w:autoSpaceDE w:val="0"/>
              <w:autoSpaceDN w:val="0"/>
              <w:spacing w:before="0" w:after="0" w:line="24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单位</w:t>
            </w:r>
            <w:r>
              <w:rPr>
                <w:rFonts w:hint="eastAsia" w:ascii="宋体" w:hAnsi="宋体" w:eastAsia="宋体" w:cs="宋体"/>
                <w:sz w:val="24"/>
                <w:szCs w:val="24"/>
                <w:highlight w:val="none"/>
              </w:rPr>
              <w:t>★</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048EC">
            <w:pPr>
              <w:keepNext w:val="0"/>
              <w:keepLines w:val="0"/>
              <w:widowControl/>
              <w:suppressLineNumbers w:val="0"/>
              <w:autoSpaceDE w:val="0"/>
              <w:autoSpaceDN w:val="0"/>
              <w:spacing w:before="0" w:after="0" w:line="24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参数</w:t>
            </w:r>
            <w:r>
              <w:rPr>
                <w:rFonts w:hint="eastAsia" w:ascii="宋体" w:hAnsi="宋体" w:eastAsia="宋体" w:cs="宋体"/>
                <w:sz w:val="24"/>
                <w:szCs w:val="24"/>
                <w:highlight w:val="none"/>
              </w:rPr>
              <w:t>★</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751B0">
            <w:pPr>
              <w:keepNext w:val="0"/>
              <w:keepLines w:val="0"/>
              <w:widowControl/>
              <w:suppressLineNumbers w:val="0"/>
              <w:autoSpaceDE w:val="0"/>
              <w:autoSpaceDN w:val="0"/>
              <w:spacing w:before="0" w:after="0" w:line="24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最高限价</w:t>
            </w:r>
            <w:r>
              <w:rPr>
                <w:rFonts w:hint="eastAsia" w:ascii="宋体" w:hAnsi="宋体" w:eastAsia="宋体" w:cs="宋体"/>
                <w:kern w:val="0"/>
                <w:sz w:val="24"/>
                <w:szCs w:val="24"/>
                <w:lang w:val="zh-CN" w:bidi="zh-CN"/>
              </w:rPr>
              <w:t>★</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77323">
            <w:pPr>
              <w:keepNext w:val="0"/>
              <w:keepLines w:val="0"/>
              <w:widowControl/>
              <w:suppressLineNumbers w:val="0"/>
              <w:autoSpaceDE w:val="0"/>
              <w:autoSpaceDN w:val="0"/>
              <w:spacing w:before="0" w:after="0" w:line="24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价格权重</w:t>
            </w:r>
          </w:p>
        </w:tc>
      </w:tr>
      <w:tr w14:paraId="6B8C8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897" w:hRule="atLeast"/>
        </w:trPr>
        <w:tc>
          <w:tcPr>
            <w:tcW w:w="1339" w:type="dxa"/>
            <w:tcBorders>
              <w:top w:val="single" w:color="000000" w:sz="4" w:space="0"/>
              <w:left w:val="single" w:color="800000" w:sz="4" w:space="0"/>
              <w:bottom w:val="single" w:color="000000" w:sz="4" w:space="0"/>
              <w:right w:val="single" w:color="000000" w:sz="4" w:space="0"/>
            </w:tcBorders>
            <w:shd w:val="clear" w:color="auto" w:fill="auto"/>
            <w:vAlign w:val="center"/>
          </w:tcPr>
          <w:p w14:paraId="228E78CF">
            <w:pPr>
              <w:keepNext w:val="0"/>
              <w:keepLines w:val="0"/>
              <w:widowControl/>
              <w:suppressLineNumbers w:val="0"/>
              <w:autoSpaceDE w:val="0"/>
              <w:autoSpaceDN w:val="0"/>
              <w:spacing w:before="0" w:after="0" w:line="24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卫生湿巾</w:t>
            </w:r>
          </w:p>
        </w:tc>
        <w:tc>
          <w:tcPr>
            <w:tcW w:w="1152" w:type="dxa"/>
            <w:tcBorders>
              <w:top w:val="single" w:color="000000" w:sz="4" w:space="0"/>
              <w:bottom w:val="single" w:color="000000" w:sz="4" w:space="0"/>
              <w:right w:val="single" w:color="000000" w:sz="4" w:space="0"/>
            </w:tcBorders>
            <w:shd w:val="clear" w:color="auto" w:fill="auto"/>
            <w:vAlign w:val="center"/>
          </w:tcPr>
          <w:p w14:paraId="587817F2">
            <w:pPr>
              <w:keepNext w:val="0"/>
              <w:keepLines w:val="0"/>
              <w:widowControl/>
              <w:suppressLineNumbers w:val="0"/>
              <w:autoSpaceDE w:val="0"/>
              <w:autoSpaceDN w:val="0"/>
              <w:spacing w:before="0" w:after="0" w:line="24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每包不大于120张</w:t>
            </w:r>
          </w:p>
        </w:tc>
        <w:tc>
          <w:tcPr>
            <w:tcW w:w="621" w:type="dxa"/>
            <w:tcBorders>
              <w:top w:val="single" w:color="000000" w:sz="4" w:space="0"/>
              <w:bottom w:val="single" w:color="000000" w:sz="4" w:space="0"/>
              <w:right w:val="single" w:color="000000" w:sz="4" w:space="0"/>
            </w:tcBorders>
            <w:shd w:val="clear" w:color="auto" w:fill="auto"/>
            <w:vAlign w:val="center"/>
          </w:tcPr>
          <w:p w14:paraId="1F488893">
            <w:pPr>
              <w:keepNext w:val="0"/>
              <w:keepLines w:val="0"/>
              <w:widowControl/>
              <w:suppressLineNumbers w:val="0"/>
              <w:autoSpaceDE w:val="0"/>
              <w:autoSpaceDN w:val="0"/>
              <w:spacing w:before="0" w:after="0" w:line="24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张</w:t>
            </w:r>
          </w:p>
        </w:tc>
        <w:tc>
          <w:tcPr>
            <w:tcW w:w="2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5A225">
            <w:pPr>
              <w:keepNext w:val="0"/>
              <w:keepLines w:val="0"/>
              <w:widowControl/>
              <w:suppressLineNumbers w:val="0"/>
              <w:autoSpaceDE w:val="0"/>
              <w:autoSpaceDN w:val="0"/>
              <w:spacing w:before="0" w:after="0" w:line="24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卫生湿巾中的液体与载体的重量比值应≥1.7;有效成分含量应符合产品标签说明书标注的含量;符合《卫生湿巾卫生要求(WS575-2017)》的要求。</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DF87">
            <w:pPr>
              <w:keepNext w:val="0"/>
              <w:keepLines w:val="0"/>
              <w:widowControl/>
              <w:suppressLineNumbers w:val="0"/>
              <w:autoSpaceDE w:val="0"/>
              <w:autoSpaceDN w:val="0"/>
              <w:spacing w:before="0" w:after="0" w:line="24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0.24元/张</w:t>
            </w:r>
          </w:p>
        </w:tc>
        <w:tc>
          <w:tcPr>
            <w:tcW w:w="1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A4136">
            <w:pPr>
              <w:keepNext w:val="0"/>
              <w:keepLines w:val="0"/>
              <w:widowControl/>
              <w:suppressLineNumbers w:val="0"/>
              <w:autoSpaceDE w:val="0"/>
              <w:autoSpaceDN w:val="0"/>
              <w:spacing w:before="0" w:after="0" w:line="240" w:lineRule="auto"/>
              <w:ind w:left="0" w:right="0" w:firstLine="0" w:firstLineChars="0"/>
              <w:jc w:val="center"/>
              <w:textAlignment w:val="center"/>
              <w:rPr>
                <w:rFonts w:hint="eastAsia" w:ascii="宋体" w:hAnsi="宋体" w:eastAsia="宋体" w:cs="宋体"/>
                <w:kern w:val="0"/>
                <w:sz w:val="24"/>
                <w:szCs w:val="24"/>
                <w:lang w:val="en-US" w:eastAsia="zh-CN" w:bidi="zh-CN"/>
              </w:rPr>
            </w:pPr>
            <w:r>
              <w:rPr>
                <w:rFonts w:hint="eastAsia" w:ascii="宋体" w:hAnsi="宋体" w:eastAsia="宋体" w:cs="宋体"/>
                <w:kern w:val="0"/>
                <w:sz w:val="24"/>
                <w:szCs w:val="24"/>
                <w:lang w:val="en-US" w:eastAsia="zh-CN" w:bidi="zh-CN"/>
              </w:rPr>
              <w:t>100%</w:t>
            </w:r>
          </w:p>
        </w:tc>
      </w:tr>
    </w:tbl>
    <w:p w14:paraId="11845851">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0" w:firstLineChars="0"/>
        <w:textAlignment w:val="auto"/>
        <w:outlineLvl w:val="2"/>
        <w:rPr>
          <w:rFonts w:hint="eastAsia" w:ascii="宋体" w:hAnsi="宋体" w:eastAsia="宋体" w:cs="宋体"/>
          <w:b/>
          <w:bCs/>
          <w:color w:val="000000"/>
          <w:sz w:val="24"/>
          <w:szCs w:val="24"/>
          <w:lang w:val="en-US" w:eastAsia="zh-CN"/>
        </w:rPr>
      </w:pPr>
      <w:r>
        <w:rPr>
          <w:rFonts w:hint="eastAsia" w:ascii="宋体" w:hAnsi="宋体" w:eastAsia="宋体" w:cs="宋体"/>
          <w:kern w:val="0"/>
          <w:sz w:val="24"/>
          <w:szCs w:val="24"/>
          <w:lang w:val="zh-CN" w:bidi="zh-CN"/>
        </w:rPr>
        <w:t>★</w:t>
      </w:r>
      <w:r>
        <w:rPr>
          <w:rFonts w:hint="eastAsia" w:ascii="宋体" w:hAnsi="宋体" w:eastAsia="宋体" w:cs="宋体"/>
          <w:b/>
          <w:sz w:val="24"/>
          <w:szCs w:val="24"/>
          <w:lang w:val="en-US" w:eastAsia="zh-CN"/>
        </w:rPr>
        <w:t>商务</w:t>
      </w:r>
      <w:r>
        <w:rPr>
          <w:rFonts w:hint="eastAsia" w:ascii="宋体" w:hAnsi="宋体" w:eastAsia="宋体" w:cs="宋体"/>
          <w:b/>
          <w:sz w:val="24"/>
          <w:szCs w:val="24"/>
        </w:rPr>
        <w:t>要求</w:t>
      </w:r>
      <w:r>
        <w:rPr>
          <w:rFonts w:hint="eastAsia" w:ascii="宋体" w:hAnsi="宋体" w:eastAsia="宋体" w:cs="宋体"/>
          <w:b/>
          <w:sz w:val="24"/>
          <w:szCs w:val="24"/>
          <w:lang w:eastAsia="zh-CN"/>
        </w:rPr>
        <w:t>（包</w:t>
      </w:r>
      <w:r>
        <w:rPr>
          <w:rFonts w:hint="eastAsia" w:ascii="宋体" w:hAnsi="宋体" w:eastAsia="宋体" w:cs="宋体"/>
          <w:b/>
          <w:sz w:val="24"/>
          <w:szCs w:val="24"/>
          <w:lang w:val="en-US" w:eastAsia="zh-CN"/>
        </w:rPr>
        <w:t>1和包2</w:t>
      </w:r>
      <w:r>
        <w:rPr>
          <w:rFonts w:hint="eastAsia" w:ascii="宋体" w:hAnsi="宋体" w:eastAsia="宋体" w:cs="宋体"/>
          <w:b/>
          <w:sz w:val="24"/>
          <w:szCs w:val="24"/>
          <w:lang w:eastAsia="zh-CN"/>
        </w:rPr>
        <w:t>）</w:t>
      </w:r>
      <w:r>
        <w:rPr>
          <w:rFonts w:hint="eastAsia" w:ascii="宋体" w:hAnsi="宋体" w:eastAsia="宋体" w:cs="宋体"/>
          <w:b/>
          <w:bCs/>
          <w:color w:val="000000"/>
          <w:sz w:val="24"/>
          <w:szCs w:val="24"/>
          <w:lang w:val="en-US" w:eastAsia="zh-CN"/>
        </w:rPr>
        <w:t>：</w:t>
      </w:r>
    </w:p>
    <w:p w14:paraId="471A1FEB">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b/>
          <w:bCs/>
          <w:color w:val="000000"/>
          <w:kern w:val="0"/>
          <w:sz w:val="24"/>
          <w:szCs w:val="24"/>
          <w:lang w:val="en-US" w:eastAsia="zh-CN" w:bidi="zh-CN"/>
        </w:rPr>
      </w:pPr>
      <w:r>
        <w:rPr>
          <w:rFonts w:hint="eastAsia" w:ascii="宋体" w:hAnsi="宋体" w:eastAsia="宋体" w:cs="宋体"/>
          <w:b/>
          <w:bCs/>
          <w:color w:val="000000"/>
          <w:kern w:val="0"/>
          <w:sz w:val="24"/>
          <w:szCs w:val="24"/>
          <w:lang w:val="en-US" w:eastAsia="zh-CN" w:bidi="zh-CN"/>
        </w:rPr>
        <w:t>1.交货期及地点</w:t>
      </w:r>
    </w:p>
    <w:p w14:paraId="55EB21A9">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color w:val="000000"/>
          <w:kern w:val="0"/>
          <w:sz w:val="24"/>
          <w:szCs w:val="24"/>
          <w:lang w:val="en-US" w:eastAsia="zh-CN" w:bidi="zh-CN"/>
        </w:rPr>
      </w:pPr>
      <w:r>
        <w:rPr>
          <w:rFonts w:hint="eastAsia" w:ascii="宋体" w:hAnsi="宋体" w:eastAsia="宋体" w:cs="宋体"/>
          <w:color w:val="000000"/>
          <w:kern w:val="0"/>
          <w:sz w:val="24"/>
          <w:szCs w:val="24"/>
          <w:lang w:val="en-US" w:eastAsia="zh-CN" w:bidi="zh-CN"/>
        </w:rPr>
        <w:t>（1）交货期：每次配送时间必须严格按照采购人配送通知执行，中标人应于收到通知后2小时内响应。急用产品的配送时间不应超过4小时，一般产品原则上的配送时间不应超过2个工作日。</w:t>
      </w:r>
    </w:p>
    <w:p w14:paraId="4121E5F9">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kern w:val="0"/>
          <w:sz w:val="24"/>
          <w:szCs w:val="24"/>
          <w:lang w:val="en-US" w:eastAsia="zh-CN" w:bidi="zh-CN"/>
        </w:rPr>
      </w:pPr>
      <w:r>
        <w:rPr>
          <w:rFonts w:hint="eastAsia" w:ascii="宋体" w:hAnsi="宋体" w:eastAsia="宋体" w:cs="宋体"/>
          <w:color w:val="000000"/>
          <w:kern w:val="0"/>
          <w:sz w:val="24"/>
          <w:szCs w:val="24"/>
          <w:lang w:val="en-US" w:eastAsia="zh-CN" w:bidi="zh-CN"/>
        </w:rPr>
        <w:t>（2）交货地点：内江市第一人民医院指定地点。</w:t>
      </w:r>
    </w:p>
    <w:p w14:paraId="3E01668A">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b/>
          <w:bCs/>
          <w:color w:val="000000"/>
          <w:kern w:val="0"/>
          <w:sz w:val="24"/>
          <w:szCs w:val="24"/>
          <w:lang w:val="en-US" w:eastAsia="zh-CN" w:bidi="zh-CN"/>
        </w:rPr>
      </w:pPr>
      <w:r>
        <w:rPr>
          <w:rFonts w:hint="eastAsia" w:ascii="宋体" w:hAnsi="宋体" w:eastAsia="宋体" w:cs="宋体"/>
          <w:b/>
          <w:bCs/>
          <w:color w:val="000000"/>
          <w:kern w:val="0"/>
          <w:sz w:val="24"/>
          <w:szCs w:val="24"/>
          <w:lang w:val="en-US" w:eastAsia="zh-CN" w:bidi="zh-CN"/>
        </w:rPr>
        <w:t>2.付款方法和条件</w:t>
      </w:r>
    </w:p>
    <w:p w14:paraId="0237FE9B">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（1）结算方式：货款按实结算且由双方协商决定。</w:t>
      </w:r>
    </w:p>
    <w:p w14:paraId="369BF39D">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（2）成交价格包含成本、运输、包装、培训、配送、伴随服务、税费及其他附加费用。</w:t>
      </w:r>
    </w:p>
    <w:p w14:paraId="50376F2C">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b/>
          <w:bCs/>
          <w:color w:val="000000"/>
          <w:kern w:val="0"/>
          <w:sz w:val="24"/>
          <w:szCs w:val="24"/>
          <w:lang w:val="en-US" w:eastAsia="zh-CN" w:bidi="zh-CN"/>
        </w:rPr>
      </w:pPr>
      <w:r>
        <w:rPr>
          <w:rFonts w:hint="eastAsia" w:ascii="宋体" w:hAnsi="宋体" w:eastAsia="宋体" w:cs="宋体"/>
          <w:b/>
          <w:bCs/>
          <w:color w:val="000000"/>
          <w:kern w:val="0"/>
          <w:sz w:val="24"/>
          <w:szCs w:val="24"/>
          <w:lang w:val="en-US" w:eastAsia="zh-CN" w:bidi="zh-CN"/>
        </w:rPr>
        <w:t>3.产品质量保证</w:t>
      </w:r>
    </w:p>
    <w:p w14:paraId="2F6D4432">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color w:val="000000"/>
          <w:kern w:val="0"/>
          <w:sz w:val="24"/>
          <w:szCs w:val="24"/>
          <w:lang w:val="en-US" w:eastAsia="zh-CN" w:bidi="zh-CN"/>
        </w:rPr>
      </w:pPr>
      <w:r>
        <w:rPr>
          <w:rFonts w:hint="eastAsia" w:ascii="宋体" w:hAnsi="宋体" w:eastAsia="宋体" w:cs="宋体"/>
          <w:color w:val="000000"/>
          <w:kern w:val="0"/>
          <w:sz w:val="24"/>
          <w:szCs w:val="24"/>
          <w:lang w:val="en-US" w:eastAsia="zh-CN" w:bidi="zh-CN"/>
        </w:rPr>
        <w:t>（1）中标人须提供原厂生产的未曾使用过的、全新的合格的货品（含配套配件等），表面无划伤、无破损痕迹，且权属清楚，不得侵害他人的合法权利。</w:t>
      </w:r>
    </w:p>
    <w:p w14:paraId="348FD853">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color w:val="000000"/>
          <w:kern w:val="0"/>
          <w:sz w:val="24"/>
          <w:szCs w:val="24"/>
          <w:lang w:val="en-US" w:eastAsia="zh-CN" w:bidi="zh-CN"/>
        </w:rPr>
      </w:pPr>
      <w:r>
        <w:rPr>
          <w:rFonts w:hint="eastAsia" w:ascii="宋体" w:hAnsi="宋体" w:eastAsia="宋体" w:cs="宋体"/>
          <w:color w:val="000000"/>
          <w:kern w:val="0"/>
          <w:sz w:val="24"/>
          <w:szCs w:val="24"/>
          <w:lang w:val="en-US" w:eastAsia="zh-CN" w:bidi="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3FB27B39">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color w:val="000000"/>
          <w:kern w:val="0"/>
          <w:sz w:val="24"/>
          <w:szCs w:val="24"/>
          <w:lang w:val="en-US" w:eastAsia="zh-CN" w:bidi="zh-CN"/>
        </w:rPr>
      </w:pPr>
      <w:r>
        <w:rPr>
          <w:rFonts w:hint="eastAsia" w:ascii="宋体" w:hAnsi="宋体" w:eastAsia="宋体" w:cs="宋体"/>
          <w:color w:val="000000"/>
          <w:kern w:val="0"/>
          <w:sz w:val="24"/>
          <w:szCs w:val="24"/>
          <w:lang w:val="en-US" w:eastAsia="zh-CN" w:bidi="zh-CN"/>
        </w:rPr>
        <w:t>（3）中标人提供货品的设计技术专利、外形专利等均应符合我国有关法律法规及行业标准，凡因以上问题与第三方发生的任何纠纷，由中标人承担全部责任，</w:t>
      </w:r>
      <w:r>
        <w:rPr>
          <w:rFonts w:hint="eastAsia" w:ascii="宋体" w:hAnsi="宋体" w:eastAsia="宋体" w:cs="宋体"/>
          <w:color w:val="000000"/>
          <w:kern w:val="0"/>
          <w:sz w:val="24"/>
          <w:szCs w:val="24"/>
          <w:lang w:val="en-US" w:eastAsia="zh-Hans" w:bidi="zh-CN"/>
        </w:rPr>
        <w:t>中标人还应</w:t>
      </w:r>
      <w:r>
        <w:rPr>
          <w:rFonts w:hint="eastAsia" w:ascii="宋体" w:hAnsi="宋体" w:eastAsia="宋体" w:cs="宋体"/>
          <w:color w:val="000000"/>
          <w:kern w:val="0"/>
          <w:sz w:val="24"/>
          <w:szCs w:val="24"/>
          <w:lang w:val="zh-CN" w:bidi="zh-CN"/>
        </w:rPr>
        <w:t>负责赔偿</w:t>
      </w:r>
      <w:r>
        <w:rPr>
          <w:rFonts w:hint="eastAsia" w:ascii="宋体" w:hAnsi="宋体" w:eastAsia="宋体" w:cs="宋体"/>
          <w:color w:val="000000"/>
          <w:kern w:val="0"/>
          <w:sz w:val="24"/>
          <w:szCs w:val="24"/>
          <w:lang w:val="en-US" w:eastAsia="zh-CN" w:bidi="zh-CN"/>
        </w:rPr>
        <w:t>采购人</w:t>
      </w:r>
      <w:r>
        <w:rPr>
          <w:rFonts w:hint="eastAsia" w:ascii="宋体" w:hAnsi="宋体" w:eastAsia="宋体" w:cs="宋体"/>
          <w:color w:val="000000"/>
          <w:kern w:val="0"/>
          <w:sz w:val="24"/>
          <w:szCs w:val="24"/>
          <w:lang w:val="zh-CN" w:bidi="zh-CN"/>
        </w:rPr>
        <w:t>由此而遭受的全部损失。</w:t>
      </w:r>
    </w:p>
    <w:p w14:paraId="7D243352">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color w:val="000000"/>
          <w:kern w:val="0"/>
          <w:sz w:val="24"/>
          <w:szCs w:val="24"/>
          <w:lang w:val="en-US" w:eastAsia="zh-CN" w:bidi="zh-CN"/>
        </w:rPr>
      </w:pPr>
      <w:r>
        <w:rPr>
          <w:rFonts w:hint="eastAsia" w:ascii="宋体" w:hAnsi="宋体" w:eastAsia="宋体" w:cs="宋体"/>
          <w:color w:val="000000"/>
          <w:kern w:val="0"/>
          <w:sz w:val="24"/>
          <w:szCs w:val="24"/>
          <w:lang w:val="en-US" w:eastAsia="zh-CN" w:bidi="zh-CN"/>
        </w:rPr>
        <w:t>（4）中标人保证其提供货品的安全可靠性。在正常使用下不应对使用者造成任何人身伤害，如因产品质量或标示不明确而对使用者造成损失的，由中标人承担相应责任。</w:t>
      </w:r>
    </w:p>
    <w:p w14:paraId="5DFAE62C">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color w:val="000000"/>
          <w:kern w:val="0"/>
          <w:sz w:val="24"/>
          <w:szCs w:val="24"/>
          <w:lang w:val="en-US" w:eastAsia="zh-CN" w:bidi="zh-CN"/>
        </w:rPr>
      </w:pPr>
      <w:r>
        <w:rPr>
          <w:rFonts w:hint="eastAsia" w:ascii="宋体" w:hAnsi="宋体" w:eastAsia="宋体" w:cs="宋体"/>
          <w:color w:val="000000"/>
          <w:kern w:val="0"/>
          <w:sz w:val="24"/>
          <w:szCs w:val="24"/>
          <w:lang w:val="en-US" w:eastAsia="zh-CN" w:bidi="zh-CN"/>
        </w:rPr>
        <w:t>（5）中标人应保证所供产品原产地真实，产品是全新的、未使用过的，质量符合国家标准（在无国家标准时，符合行业标准），不得以假充真，以次充好，确保临床医疗安全。如出现质量问题，中标人负责按照采购人要求办理退货并承担因产品质量导致的经济和法律责任。送货时，需向采购人提供以下资料：产品送货单、产品合格证明文件（检验报告单）、进口产品需出具中文标签、进口产品需提供中华人民共和国海关进口货物报关单。</w:t>
      </w:r>
    </w:p>
    <w:p w14:paraId="2470BC71">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color w:val="000000"/>
          <w:kern w:val="0"/>
          <w:sz w:val="24"/>
          <w:szCs w:val="24"/>
          <w:lang w:val="en-US" w:eastAsia="zh-CN" w:bidi="zh-CN"/>
        </w:rPr>
      </w:pPr>
      <w:r>
        <w:rPr>
          <w:rFonts w:hint="eastAsia" w:ascii="宋体" w:hAnsi="宋体" w:eastAsia="宋体" w:cs="宋体"/>
          <w:color w:val="000000"/>
          <w:kern w:val="0"/>
          <w:sz w:val="24"/>
          <w:szCs w:val="24"/>
          <w:lang w:val="en-US" w:eastAsia="zh-CN" w:bidi="zh-CN"/>
        </w:rPr>
        <w:t>（6）中标人保证所供产品有效期不低于</w:t>
      </w:r>
      <w:r>
        <w:rPr>
          <w:rFonts w:hint="eastAsia" w:ascii="宋体" w:hAnsi="宋体" w:eastAsia="宋体" w:cs="宋体"/>
          <w:color w:val="000000"/>
          <w:kern w:val="0"/>
          <w:sz w:val="24"/>
          <w:szCs w:val="24"/>
          <w:highlight w:val="none"/>
          <w:lang w:val="en-US" w:eastAsia="zh-CN" w:bidi="zh-CN"/>
        </w:rPr>
        <w:t>1年</w:t>
      </w:r>
      <w:r>
        <w:rPr>
          <w:rFonts w:hint="eastAsia" w:ascii="宋体" w:hAnsi="宋体" w:eastAsia="宋体" w:cs="宋体"/>
          <w:color w:val="000000"/>
          <w:kern w:val="0"/>
          <w:sz w:val="24"/>
          <w:szCs w:val="24"/>
          <w:lang w:val="en-US" w:eastAsia="zh-CN" w:bidi="zh-CN"/>
        </w:rPr>
        <w:t>，自通过最终验收之日起，确保采购人在使用产品的过程中安全、有效。</w:t>
      </w:r>
    </w:p>
    <w:p w14:paraId="78808720">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b/>
          <w:bCs/>
          <w:color w:val="000000"/>
          <w:kern w:val="0"/>
          <w:sz w:val="24"/>
          <w:szCs w:val="24"/>
          <w:lang w:val="en-US" w:eastAsia="zh-CN" w:bidi="zh-CN"/>
        </w:rPr>
      </w:pPr>
      <w:r>
        <w:rPr>
          <w:rFonts w:hint="eastAsia" w:ascii="宋体" w:hAnsi="宋体" w:eastAsia="宋体" w:cs="宋体"/>
          <w:b/>
          <w:bCs/>
          <w:color w:val="000000"/>
          <w:kern w:val="0"/>
          <w:sz w:val="24"/>
          <w:szCs w:val="24"/>
          <w:lang w:val="en-US" w:eastAsia="zh-CN" w:bidi="zh-CN"/>
        </w:rPr>
        <w:t>4.验收</w:t>
      </w:r>
    </w:p>
    <w:p w14:paraId="2A373ACF">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color w:val="000000"/>
          <w:kern w:val="0"/>
          <w:sz w:val="24"/>
          <w:szCs w:val="24"/>
          <w:lang w:val="en-US" w:eastAsia="zh-CN" w:bidi="zh-CN"/>
        </w:rPr>
      </w:pPr>
      <w:r>
        <w:rPr>
          <w:rFonts w:hint="eastAsia" w:ascii="宋体" w:hAnsi="宋体" w:eastAsia="宋体" w:cs="宋体"/>
          <w:color w:val="000000"/>
          <w:kern w:val="0"/>
          <w:sz w:val="24"/>
          <w:szCs w:val="24"/>
          <w:lang w:val="en-US" w:eastAsia="zh-CN" w:bidi="zh-CN"/>
        </w:rPr>
        <w:t>（1）按照招标文件的质量要求和技术指标、中标人的投标文件及承诺（若有）、国家（行业）标准、采购合同约定标准进行验收；</w:t>
      </w:r>
    </w:p>
    <w:p w14:paraId="10065D87">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color w:val="000000"/>
          <w:kern w:val="0"/>
          <w:sz w:val="24"/>
          <w:szCs w:val="24"/>
          <w:lang w:val="en-US" w:eastAsia="zh-CN" w:bidi="zh-CN"/>
        </w:rPr>
      </w:pPr>
      <w:r>
        <w:rPr>
          <w:rFonts w:hint="eastAsia" w:ascii="宋体" w:hAnsi="宋体" w:eastAsia="宋体" w:cs="宋体"/>
          <w:color w:val="000000"/>
          <w:kern w:val="0"/>
          <w:sz w:val="24"/>
          <w:szCs w:val="24"/>
          <w:lang w:val="en-US" w:eastAsia="zh-CN" w:bidi="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3CB391DA">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color w:val="000000"/>
          <w:kern w:val="0"/>
          <w:sz w:val="24"/>
          <w:szCs w:val="24"/>
          <w:lang w:val="en-US" w:eastAsia="zh-CN" w:bidi="zh-CN"/>
        </w:rPr>
      </w:pPr>
      <w:r>
        <w:rPr>
          <w:rFonts w:hint="eastAsia" w:ascii="宋体" w:hAnsi="宋体" w:eastAsia="宋体" w:cs="宋体"/>
          <w:color w:val="000000"/>
          <w:kern w:val="0"/>
          <w:sz w:val="24"/>
          <w:szCs w:val="24"/>
          <w:lang w:val="en-US" w:eastAsia="zh-CN" w:bidi="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228A388A">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b/>
          <w:bCs/>
          <w:color w:val="000000"/>
          <w:kern w:val="0"/>
          <w:sz w:val="24"/>
          <w:szCs w:val="24"/>
          <w:lang w:val="en-US" w:eastAsia="zh-CN" w:bidi="zh-CN"/>
        </w:rPr>
      </w:pPr>
      <w:r>
        <w:rPr>
          <w:rFonts w:hint="eastAsia" w:ascii="宋体" w:hAnsi="宋体" w:eastAsia="宋体" w:cs="宋体"/>
          <w:b/>
          <w:bCs/>
          <w:color w:val="000000"/>
          <w:kern w:val="0"/>
          <w:sz w:val="24"/>
          <w:szCs w:val="24"/>
          <w:lang w:val="en-US" w:eastAsia="zh-CN" w:bidi="zh-CN"/>
        </w:rPr>
        <w:t>5.售后服务</w:t>
      </w:r>
    </w:p>
    <w:p w14:paraId="392420DB">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color w:val="000000"/>
          <w:kern w:val="0"/>
          <w:sz w:val="24"/>
          <w:szCs w:val="24"/>
          <w:lang w:val="en-US" w:eastAsia="zh-CN" w:bidi="zh-CN"/>
        </w:rPr>
      </w:pPr>
      <w:r>
        <w:rPr>
          <w:rFonts w:hint="eastAsia" w:ascii="宋体" w:hAnsi="宋体" w:eastAsia="宋体" w:cs="宋体"/>
          <w:color w:val="000000"/>
          <w:kern w:val="0"/>
          <w:sz w:val="24"/>
          <w:szCs w:val="24"/>
          <w:lang w:val="en-US" w:eastAsia="zh-CN" w:bidi="zh-CN"/>
        </w:rPr>
        <w:t>（1）要求中标人必须严格按照招标文件要求和投标文件中的承诺提供配送服务。如果配送的医用产品规格、包装等信息与中标产品的规格、包装等信息不一致并不同意更换的，或配送的医用产品和中标产品不一致的，采购人有权终止合同。</w:t>
      </w:r>
    </w:p>
    <w:p w14:paraId="7C49675C">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color w:val="000000"/>
          <w:kern w:val="0"/>
          <w:sz w:val="24"/>
          <w:szCs w:val="24"/>
          <w:lang w:val="en-US" w:eastAsia="zh-CN" w:bidi="zh-CN"/>
        </w:rPr>
      </w:pPr>
      <w:r>
        <w:rPr>
          <w:rFonts w:hint="eastAsia" w:ascii="宋体" w:hAnsi="宋体" w:eastAsia="宋体" w:cs="宋体"/>
          <w:color w:val="000000"/>
          <w:kern w:val="0"/>
          <w:sz w:val="24"/>
          <w:szCs w:val="24"/>
          <w:lang w:val="en-US" w:eastAsia="zh-CN" w:bidi="zh-CN"/>
        </w:rPr>
        <w:t>（2）要求中标人指派专人负责与采购人联系售后服务事宜；在投标文件中列明售后联系人及联系电话。</w:t>
      </w:r>
    </w:p>
    <w:p w14:paraId="6DE03E3E">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i w:val="0"/>
          <w:iCs w:val="0"/>
          <w:caps w:val="0"/>
          <w:color w:val="0A82E5"/>
          <w:spacing w:val="0"/>
          <w:kern w:val="0"/>
          <w:sz w:val="24"/>
          <w:szCs w:val="24"/>
          <w:lang w:val="zh-CN" w:bidi="zh-CN"/>
        </w:rPr>
      </w:pPr>
      <w:r>
        <w:rPr>
          <w:rFonts w:hint="eastAsia" w:ascii="宋体" w:hAnsi="宋体" w:eastAsia="宋体" w:cs="宋体"/>
          <w:color w:val="000000"/>
          <w:kern w:val="0"/>
          <w:sz w:val="24"/>
          <w:szCs w:val="24"/>
          <w:lang w:val="en-US" w:eastAsia="zh-CN" w:bidi="zh-CN"/>
        </w:rPr>
        <w:t>（3）产品临近失效期，采购人提前三个月向中标人提出更换，中标人须在产品失效前一个月更换完毕，不得以任何理由进行推诿。</w:t>
      </w:r>
    </w:p>
    <w:p w14:paraId="148BEB9A">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color w:val="000000"/>
          <w:kern w:val="0"/>
          <w:sz w:val="24"/>
          <w:szCs w:val="24"/>
          <w:lang w:val="en-US" w:eastAsia="zh-CN" w:bidi="zh-CN"/>
        </w:rPr>
      </w:pPr>
      <w:r>
        <w:rPr>
          <w:rFonts w:hint="eastAsia" w:ascii="宋体" w:hAnsi="宋体" w:eastAsia="宋体" w:cs="宋体"/>
          <w:color w:val="000000"/>
          <w:kern w:val="0"/>
          <w:sz w:val="24"/>
          <w:szCs w:val="24"/>
          <w:lang w:val="en-US" w:eastAsia="zh-CN" w:bidi="zh-CN"/>
        </w:rPr>
        <w:t>（4）中标人必须随货提供其具备有关合法有效的手续（包括但不限于）：</w:t>
      </w:r>
    </w:p>
    <w:p w14:paraId="7AB561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val="0"/>
        <w:spacing w:before="0" w:beforeAutospacing="0" w:after="0" w:afterAutospacing="0" w:line="360" w:lineRule="auto"/>
        <w:ind w:left="0" w:right="0" w:firstLine="720" w:firstLineChars="300"/>
        <w:jc w:val="left"/>
        <w:rPr>
          <w:rFonts w:hint="eastAsia" w:ascii="宋体" w:hAnsi="宋体" w:eastAsia="宋体" w:cs="宋体"/>
          <w:kern w:val="0"/>
          <w:sz w:val="24"/>
          <w:szCs w:val="24"/>
          <w:highlight w:val="none"/>
          <w:lang w:val="en-US" w:eastAsia="zh-CN" w:bidi="zh-CN"/>
        </w:rPr>
      </w:pPr>
      <w:r>
        <w:rPr>
          <w:rFonts w:hint="eastAsia" w:ascii="宋体" w:hAnsi="宋体" w:eastAsia="宋体" w:cs="宋体"/>
          <w:kern w:val="0"/>
          <w:sz w:val="24"/>
          <w:szCs w:val="24"/>
          <w:highlight w:val="none"/>
          <w:lang w:val="en-US" w:eastAsia="zh-CN" w:bidi="zh-CN"/>
        </w:rPr>
        <w:t>a.产品在证件所批的生产（经营）许可范围内;</w:t>
      </w:r>
    </w:p>
    <w:p w14:paraId="1BD09793">
      <w:pPr>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val="0"/>
        <w:spacing w:before="0" w:beforeAutospacing="0" w:after="0" w:afterAutospacing="0" w:line="360" w:lineRule="auto"/>
        <w:ind w:left="0" w:right="0" w:firstLine="720" w:firstLineChars="300"/>
        <w:jc w:val="left"/>
        <w:rPr>
          <w:rFonts w:hint="eastAsia" w:ascii="宋体" w:hAnsi="宋体" w:eastAsia="宋体" w:cs="宋体"/>
          <w:kern w:val="0"/>
          <w:sz w:val="24"/>
          <w:szCs w:val="24"/>
          <w:highlight w:val="none"/>
          <w:lang w:val="en-US" w:eastAsia="zh-CN" w:bidi="zh-CN"/>
        </w:rPr>
      </w:pPr>
      <w:r>
        <w:rPr>
          <w:rFonts w:hint="eastAsia" w:ascii="宋体" w:hAnsi="宋体" w:eastAsia="宋体" w:cs="宋体"/>
          <w:kern w:val="0"/>
          <w:sz w:val="24"/>
          <w:szCs w:val="24"/>
          <w:highlight w:val="none"/>
          <w:lang w:val="en-US" w:eastAsia="zh-CN" w:bidi="zh-CN"/>
        </w:rPr>
        <w:t>b.各级授权书的内容齐全，包括授权销售产品范围、销售地域范围及有效时间、法人签名等;</w:t>
      </w:r>
    </w:p>
    <w:p w14:paraId="55FC52A2">
      <w:pPr>
        <w:keepNext w:val="0"/>
        <w:keepLines w:val="0"/>
        <w:pageBreakBefore w:val="0"/>
        <w:widowControl/>
        <w:shd w:val="clear" w:color="auto" w:fill="FFFFFF"/>
        <w:tabs>
          <w:tab w:val="left" w:pos="8617"/>
        </w:tabs>
        <w:kinsoku/>
        <w:wordWrap/>
        <w:overflowPunct/>
        <w:topLinePunct w:val="0"/>
        <w:autoSpaceDE/>
        <w:autoSpaceDN/>
        <w:bidi w:val="0"/>
        <w:adjustRightInd/>
        <w:snapToGrid/>
        <w:spacing w:before="0" w:after="0" w:line="360" w:lineRule="auto"/>
        <w:ind w:left="0" w:right="0" w:rightChars="0" w:firstLine="720" w:firstLineChars="300"/>
        <w:jc w:val="left"/>
        <w:textAlignment w:val="auto"/>
        <w:rPr>
          <w:rFonts w:hint="eastAsia" w:ascii="宋体" w:hAnsi="宋体" w:eastAsia="宋体" w:cs="宋体"/>
          <w:kern w:val="0"/>
          <w:sz w:val="24"/>
          <w:szCs w:val="24"/>
          <w:highlight w:val="none"/>
          <w:lang w:val="en-US" w:eastAsia="zh-CN" w:bidi="zh-CN"/>
        </w:rPr>
      </w:pPr>
      <w:r>
        <w:rPr>
          <w:rFonts w:hint="eastAsia" w:ascii="宋体" w:hAnsi="宋体" w:eastAsia="宋体" w:cs="宋体"/>
          <w:kern w:val="0"/>
          <w:sz w:val="24"/>
          <w:szCs w:val="24"/>
          <w:highlight w:val="none"/>
          <w:lang w:val="en-US" w:eastAsia="zh-CN" w:bidi="zh-CN"/>
        </w:rPr>
        <w:t>c.《消毒产品生产企业卫生许可证》;</w:t>
      </w:r>
    </w:p>
    <w:p w14:paraId="52C76241">
      <w:pPr>
        <w:keepNext w:val="0"/>
        <w:keepLines w:val="0"/>
        <w:pageBreakBefore w:val="0"/>
        <w:widowControl/>
        <w:shd w:val="clear" w:color="auto" w:fill="FFFFFF"/>
        <w:tabs>
          <w:tab w:val="left" w:pos="8617"/>
        </w:tabs>
        <w:kinsoku/>
        <w:wordWrap/>
        <w:overflowPunct/>
        <w:topLinePunct w:val="0"/>
        <w:autoSpaceDE/>
        <w:autoSpaceDN/>
        <w:bidi w:val="0"/>
        <w:adjustRightInd/>
        <w:snapToGrid/>
        <w:spacing w:before="0" w:after="0" w:line="360" w:lineRule="auto"/>
        <w:ind w:left="0" w:right="0" w:rightChars="0" w:firstLine="720" w:firstLineChars="300"/>
        <w:jc w:val="left"/>
        <w:textAlignment w:val="auto"/>
        <w:rPr>
          <w:rFonts w:hint="eastAsia" w:ascii="宋体" w:hAnsi="宋体" w:eastAsia="宋体" w:cs="宋体"/>
          <w:kern w:val="0"/>
          <w:sz w:val="24"/>
          <w:szCs w:val="24"/>
          <w:highlight w:val="none"/>
          <w:lang w:val="en-US" w:eastAsia="zh-CN" w:bidi="zh-CN"/>
        </w:rPr>
      </w:pPr>
      <w:r>
        <w:rPr>
          <w:rFonts w:hint="eastAsia" w:ascii="宋体" w:hAnsi="宋体" w:eastAsia="宋体" w:cs="宋体"/>
          <w:kern w:val="0"/>
          <w:sz w:val="24"/>
          <w:szCs w:val="24"/>
          <w:highlight w:val="none"/>
          <w:lang w:val="en-US" w:eastAsia="zh-CN" w:bidi="zh-CN"/>
        </w:rPr>
        <w:t>d 新消毒产品（生产、进口利用新材料、新工艺技术和新杀菌原理生产消毒剂和消毒器械）应提供卫生许可批件;</w:t>
      </w:r>
    </w:p>
    <w:p w14:paraId="4634CCD8">
      <w:pPr>
        <w:keepNext w:val="0"/>
        <w:keepLines w:val="0"/>
        <w:pageBreakBefore w:val="0"/>
        <w:widowControl/>
        <w:shd w:val="clear" w:color="auto" w:fill="FFFFFF"/>
        <w:tabs>
          <w:tab w:val="left" w:pos="8617"/>
        </w:tabs>
        <w:kinsoku/>
        <w:wordWrap/>
        <w:overflowPunct/>
        <w:topLinePunct w:val="0"/>
        <w:autoSpaceDE/>
        <w:autoSpaceDN/>
        <w:bidi w:val="0"/>
        <w:adjustRightInd/>
        <w:snapToGrid/>
        <w:spacing w:before="0" w:after="0" w:line="360" w:lineRule="auto"/>
        <w:ind w:left="0" w:right="0" w:rightChars="0" w:firstLine="720" w:firstLineChars="300"/>
        <w:jc w:val="left"/>
        <w:textAlignment w:val="auto"/>
        <w:rPr>
          <w:rFonts w:hint="eastAsia" w:ascii="宋体" w:hAnsi="宋体" w:eastAsia="宋体" w:cs="宋体"/>
          <w:kern w:val="0"/>
          <w:sz w:val="24"/>
          <w:szCs w:val="24"/>
          <w:highlight w:val="none"/>
          <w:lang w:val="en-US" w:eastAsia="zh-CN" w:bidi="zh-CN"/>
        </w:rPr>
      </w:pPr>
      <w:r>
        <w:rPr>
          <w:rFonts w:hint="eastAsia" w:ascii="宋体" w:hAnsi="宋体" w:eastAsia="宋体" w:cs="宋体"/>
          <w:kern w:val="0"/>
          <w:sz w:val="24"/>
          <w:szCs w:val="24"/>
          <w:highlight w:val="none"/>
          <w:lang w:val="en-US" w:eastAsia="zh-CN" w:bidi="zh-CN"/>
        </w:rPr>
        <w:t>e.卫生安全评价报告，评价报告内容包括产品的基本情况、产品标签（铭牌）、说明书、检验报告结论、企业标准或质量标准、国产产品生产企业卫生许可资质、进口产品生产国（地区）允许生产销售的批文情况。其中，消毒剂、生物指示物、化学指示物、带有灭菌标识的灭菌物品包装物、抗（抑）菌制剂还包括产品配方</w:t>
      </w:r>
      <w:r>
        <w:rPr>
          <w:rFonts w:hint="eastAsia" w:ascii="宋体" w:hAnsi="宋体" w:cs="宋体"/>
          <w:kern w:val="0"/>
          <w:sz w:val="24"/>
          <w:szCs w:val="24"/>
          <w:highlight w:val="none"/>
          <w:lang w:val="en-US" w:eastAsia="zh-CN" w:bidi="zh-CN"/>
        </w:rPr>
        <w:t>；</w:t>
      </w:r>
    </w:p>
    <w:p w14:paraId="5B00A392">
      <w:pPr>
        <w:keepNext w:val="0"/>
        <w:keepLines w:val="0"/>
        <w:pageBreakBefore w:val="0"/>
        <w:widowControl/>
        <w:shd w:val="clear" w:color="auto" w:fill="FFFFFF"/>
        <w:tabs>
          <w:tab w:val="left" w:pos="8617"/>
        </w:tabs>
        <w:kinsoku/>
        <w:wordWrap/>
        <w:overflowPunct/>
        <w:topLinePunct w:val="0"/>
        <w:autoSpaceDE/>
        <w:autoSpaceDN/>
        <w:bidi w:val="0"/>
        <w:adjustRightInd/>
        <w:snapToGrid/>
        <w:spacing w:before="0" w:after="0" w:line="360" w:lineRule="auto"/>
        <w:ind w:left="0" w:right="0" w:rightChars="0" w:firstLine="720" w:firstLineChars="300"/>
        <w:jc w:val="left"/>
        <w:textAlignment w:val="auto"/>
        <w:rPr>
          <w:rFonts w:hint="eastAsia" w:ascii="宋体" w:hAnsi="宋体" w:eastAsia="宋体" w:cs="宋体"/>
          <w:kern w:val="0"/>
          <w:sz w:val="24"/>
          <w:szCs w:val="24"/>
          <w:highlight w:val="none"/>
          <w:lang w:val="en-US" w:eastAsia="zh-CN" w:bidi="zh-CN"/>
        </w:rPr>
      </w:pPr>
      <w:r>
        <w:rPr>
          <w:rFonts w:hint="eastAsia" w:ascii="宋体" w:hAnsi="宋体" w:eastAsia="宋体" w:cs="宋体"/>
          <w:kern w:val="0"/>
          <w:sz w:val="24"/>
          <w:szCs w:val="24"/>
          <w:highlight w:val="none"/>
          <w:lang w:val="en-US" w:eastAsia="zh-CN" w:bidi="zh-CN"/>
        </w:rPr>
        <w:t>f.消毒产品标签和说明书符合《消毒产品标签说明书通用要求》(GB 38598-2020)的规定;</w:t>
      </w:r>
    </w:p>
    <w:p w14:paraId="1FE69458">
      <w:pPr>
        <w:widowControl w:val="0"/>
        <w:autoSpaceDE w:val="0"/>
        <w:autoSpaceDN w:val="0"/>
        <w:spacing w:before="0" w:after="120" w:line="360" w:lineRule="auto"/>
        <w:ind w:left="480" w:leftChars="200" w:right="0" w:firstLine="240" w:firstLineChars="100"/>
        <w:jc w:val="left"/>
        <w:rPr>
          <w:rFonts w:hint="eastAsia" w:ascii="宋体" w:hAnsi="宋体" w:eastAsia="宋体" w:cs="宋体"/>
          <w:kern w:val="0"/>
          <w:sz w:val="24"/>
          <w:szCs w:val="24"/>
          <w:highlight w:val="none"/>
          <w:lang w:val="en-US" w:eastAsia="zh-CN" w:bidi="zh-CN"/>
        </w:rPr>
      </w:pPr>
      <w:r>
        <w:rPr>
          <w:rFonts w:hint="eastAsia" w:ascii="宋体" w:hAnsi="宋体" w:eastAsia="宋体" w:cs="宋体"/>
          <w:kern w:val="0"/>
          <w:sz w:val="24"/>
          <w:szCs w:val="24"/>
          <w:highlight w:val="none"/>
          <w:lang w:val="en-US" w:eastAsia="zh-CN" w:bidi="zh-CN"/>
        </w:rPr>
        <w:t>g.每配送一个批次的消毒产品需提供该批次的质检报告，且质检报告的批号应与配送产品一致。</w:t>
      </w:r>
    </w:p>
    <w:p w14:paraId="72DEE18E">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20" w:firstLineChars="0"/>
        <w:jc w:val="left"/>
        <w:textAlignment w:val="auto"/>
        <w:rPr>
          <w:rFonts w:hint="eastAsia" w:ascii="宋体" w:hAnsi="宋体" w:eastAsia="宋体" w:cs="宋体"/>
          <w:b/>
          <w:bCs/>
          <w:color w:val="000000"/>
          <w:kern w:val="0"/>
          <w:sz w:val="24"/>
          <w:szCs w:val="24"/>
          <w:lang w:val="en-US" w:eastAsia="zh-CN" w:bidi="zh-CN"/>
        </w:rPr>
      </w:pPr>
      <w:r>
        <w:rPr>
          <w:rFonts w:hint="eastAsia" w:ascii="宋体" w:hAnsi="宋体" w:eastAsia="宋体" w:cs="宋体"/>
          <w:b/>
          <w:bCs/>
          <w:color w:val="000000"/>
          <w:kern w:val="0"/>
          <w:sz w:val="24"/>
          <w:szCs w:val="24"/>
          <w:lang w:val="en-US" w:eastAsia="zh-CN" w:bidi="zh-CN"/>
        </w:rPr>
        <w:t xml:space="preserve">6.包装和运输 </w:t>
      </w:r>
    </w:p>
    <w:p w14:paraId="59462AC5">
      <w:pPr>
        <w:keepNext w:val="0"/>
        <w:keepLines w:val="0"/>
        <w:pageBreakBefore w:val="0"/>
        <w:widowControl/>
        <w:shd w:val="clear" w:color="auto" w:fill="FFFFFF"/>
        <w:tabs>
          <w:tab w:val="left" w:pos="8617"/>
        </w:tabs>
        <w:kinsoku/>
        <w:wordWrap/>
        <w:overflowPunct/>
        <w:topLinePunct w:val="0"/>
        <w:autoSpaceDE/>
        <w:autoSpaceDN/>
        <w:bidi w:val="0"/>
        <w:adjustRightInd/>
        <w:snapToGrid/>
        <w:spacing w:before="0" w:after="0" w:line="360" w:lineRule="auto"/>
        <w:ind w:left="0" w:right="0" w:rightChars="0" w:firstLine="720" w:firstLineChars="300"/>
        <w:jc w:val="left"/>
        <w:textAlignment w:val="auto"/>
        <w:rPr>
          <w:rFonts w:hint="eastAsia" w:ascii="宋体" w:hAnsi="宋体" w:eastAsia="宋体" w:cs="宋体"/>
          <w:kern w:val="0"/>
          <w:sz w:val="24"/>
          <w:szCs w:val="24"/>
          <w:highlight w:val="none"/>
          <w:lang w:val="en-US" w:eastAsia="zh-CN" w:bidi="zh-CN"/>
        </w:rPr>
      </w:pPr>
      <w:r>
        <w:rPr>
          <w:rFonts w:hint="eastAsia" w:ascii="宋体" w:hAnsi="宋体" w:eastAsia="宋体" w:cs="宋体"/>
          <w:kern w:val="0"/>
          <w:sz w:val="24"/>
          <w:szCs w:val="24"/>
          <w:highlight w:val="none"/>
          <w:lang w:val="en-US" w:eastAsia="zh-CN" w:bidi="zh-CN"/>
        </w:rPr>
        <w:t>（1）</w:t>
      </w:r>
      <w:r>
        <w:rPr>
          <w:rFonts w:hint="eastAsia" w:ascii="宋体" w:hAnsi="宋体" w:cs="宋体"/>
          <w:kern w:val="0"/>
          <w:sz w:val="24"/>
          <w:szCs w:val="24"/>
          <w:highlight w:val="none"/>
          <w:lang w:val="en-US" w:eastAsia="zh-CN" w:bidi="zh-CN"/>
        </w:rPr>
        <w:t>中标人</w:t>
      </w:r>
      <w:r>
        <w:rPr>
          <w:rFonts w:hint="eastAsia" w:ascii="宋体" w:hAnsi="宋体" w:eastAsia="宋体" w:cs="宋体"/>
          <w:kern w:val="0"/>
          <w:sz w:val="24"/>
          <w:szCs w:val="24"/>
          <w:highlight w:val="none"/>
          <w:lang w:val="en-US" w:eastAsia="zh-CN" w:bidi="zh-CN"/>
        </w:rPr>
        <w:t xml:space="preserve">须严格按照《商品包装政府采购需求标准(试行)》、《快递包装政府采购需 求标准(试行)》(财办库〔2020〕123 号)的要求进行产品及相关快递服务的包装。 </w:t>
      </w:r>
    </w:p>
    <w:p w14:paraId="260FCC6B">
      <w:pPr>
        <w:keepNext w:val="0"/>
        <w:keepLines w:val="0"/>
        <w:pageBreakBefore w:val="0"/>
        <w:widowControl/>
        <w:shd w:val="clear" w:color="auto" w:fill="FFFFFF"/>
        <w:tabs>
          <w:tab w:val="left" w:pos="8617"/>
        </w:tabs>
        <w:kinsoku/>
        <w:wordWrap/>
        <w:overflowPunct/>
        <w:topLinePunct w:val="0"/>
        <w:autoSpaceDE/>
        <w:autoSpaceDN/>
        <w:bidi w:val="0"/>
        <w:adjustRightInd/>
        <w:snapToGrid/>
        <w:spacing w:before="0" w:after="0" w:line="360" w:lineRule="auto"/>
        <w:ind w:left="0" w:right="0" w:rightChars="0" w:firstLine="720" w:firstLineChars="300"/>
        <w:jc w:val="left"/>
        <w:textAlignment w:val="auto"/>
        <w:rPr>
          <w:rFonts w:hint="eastAsia" w:ascii="宋体" w:hAnsi="宋体" w:eastAsia="宋体" w:cs="宋体"/>
          <w:kern w:val="0"/>
          <w:sz w:val="24"/>
          <w:szCs w:val="24"/>
          <w:highlight w:val="none"/>
          <w:lang w:val="en-US" w:eastAsia="zh-CN" w:bidi="zh-CN"/>
        </w:rPr>
      </w:pPr>
      <w:r>
        <w:rPr>
          <w:rFonts w:hint="eastAsia" w:ascii="宋体" w:hAnsi="宋体" w:eastAsia="宋体" w:cs="宋体"/>
          <w:kern w:val="0"/>
          <w:sz w:val="24"/>
          <w:szCs w:val="24"/>
          <w:highlight w:val="none"/>
          <w:lang w:val="en-US" w:eastAsia="zh-CN" w:bidi="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7E118DEA">
      <w:pPr>
        <w:widowControl/>
        <w:shd w:val="clear" w:color="auto" w:fill="FFFFFF"/>
        <w:tabs>
          <w:tab w:val="left" w:pos="8617"/>
        </w:tabs>
        <w:snapToGrid/>
        <w:spacing w:line="360" w:lineRule="auto"/>
        <w:ind w:firstLine="720" w:firstLineChars="300"/>
        <w:jc w:val="left"/>
        <w:rPr>
          <w:rFonts w:hint="eastAsia" w:ascii="宋体" w:hAnsi="宋体" w:eastAsia="宋体" w:cs="宋体"/>
          <w:kern w:val="0"/>
          <w:sz w:val="24"/>
          <w:szCs w:val="24"/>
          <w:highlight w:val="none"/>
          <w:lang w:val="en-US" w:eastAsia="zh-CN" w:bidi="zh-CN"/>
        </w:rPr>
      </w:pPr>
      <w:r>
        <w:rPr>
          <w:rFonts w:hint="eastAsia" w:ascii="宋体" w:hAnsi="宋体" w:eastAsia="宋体" w:cs="宋体"/>
          <w:kern w:val="0"/>
          <w:sz w:val="24"/>
          <w:szCs w:val="24"/>
          <w:highlight w:val="none"/>
          <w:lang w:val="en-US" w:eastAsia="zh-CN" w:bidi="zh-CN"/>
        </w:rPr>
        <w:t>（3）本次采购的标的物需要运输，投标人在合同约定的时间内将标的物运输至合同约定地点。</w:t>
      </w:r>
    </w:p>
    <w:p w14:paraId="552095A2">
      <w:pPr>
        <w:pStyle w:val="2"/>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lang w:val="en-US" w:eastAsia="zh-CN"/>
        </w:rPr>
      </w:pPr>
      <w:r>
        <w:rPr>
          <w:rFonts w:hint="eastAsia" w:ascii="宋体" w:hAnsi="宋体" w:eastAsia="宋体" w:cs="宋体"/>
          <w:b/>
          <w:spacing w:val="0"/>
          <w:kern w:val="2"/>
          <w:sz w:val="24"/>
          <w:szCs w:val="24"/>
          <w:lang w:val="en-US" w:eastAsia="zh-CN" w:bidi="ar-SA"/>
        </w:rPr>
        <w:t>四、</w:t>
      </w:r>
      <w:r>
        <w:rPr>
          <w:rFonts w:hint="eastAsia" w:ascii="宋体" w:hAnsi="宋体" w:eastAsia="宋体" w:cs="宋体"/>
          <w:sz w:val="24"/>
          <w:szCs w:val="24"/>
          <w:highlight w:val="none"/>
        </w:rPr>
        <w:t>★</w:t>
      </w:r>
      <w:r>
        <w:rPr>
          <w:rFonts w:hint="eastAsia" w:ascii="宋体" w:hAnsi="宋体" w:eastAsia="宋体" w:cs="宋体"/>
          <w:b/>
          <w:spacing w:val="0"/>
          <w:kern w:val="2"/>
          <w:sz w:val="24"/>
          <w:szCs w:val="24"/>
          <w:lang w:val="en-US" w:eastAsia="zh-CN" w:bidi="ar-SA"/>
        </w:rPr>
        <w:t>合同管理安排</w:t>
      </w:r>
    </w:p>
    <w:p w14:paraId="731D7CC2">
      <w:pPr>
        <w:pStyle w:val="7"/>
        <w:keepNext w:val="0"/>
        <w:keepLines w:val="0"/>
        <w:pageBreakBefore w:val="0"/>
        <w:numPr>
          <w:ilvl w:val="0"/>
          <w:numId w:val="0"/>
        </w:numPr>
        <w:tabs>
          <w:tab w:val="left" w:pos="480"/>
        </w:tabs>
        <w:kinsoku/>
        <w:overflowPunct/>
        <w:topLinePunct w:val="0"/>
        <w:autoSpaceDE/>
        <w:autoSpaceDN/>
        <w:bidi w:val="0"/>
        <w:adjustRightInd/>
        <w:snapToGrid/>
        <w:spacing w:before="11" w:after="0" w:line="360" w:lineRule="auto"/>
        <w:ind w:right="0" w:rightChars="0" w:firstLine="480" w:firstLineChars="200"/>
        <w:jc w:val="left"/>
        <w:textAlignment w:val="auto"/>
        <w:rPr>
          <w:rFonts w:hint="eastAsia" w:ascii="宋体" w:hAnsi="宋体" w:eastAsia="宋体" w:cs="宋体"/>
          <w:kern w:val="0"/>
          <w:sz w:val="24"/>
          <w:szCs w:val="24"/>
          <w:highlight w:val="none"/>
          <w:lang w:val="en-US" w:eastAsia="zh-CN" w:bidi="zh-CN"/>
        </w:rPr>
      </w:pPr>
      <w:r>
        <w:rPr>
          <w:rFonts w:hint="eastAsia" w:ascii="宋体" w:hAnsi="宋体" w:eastAsia="宋体" w:cs="宋体"/>
          <w:kern w:val="0"/>
          <w:sz w:val="24"/>
          <w:szCs w:val="24"/>
          <w:highlight w:val="none"/>
          <w:lang w:val="en-US" w:eastAsia="zh-CN" w:bidi="zh-CN"/>
        </w:rPr>
        <w:t>1.</w:t>
      </w:r>
      <w:r>
        <w:rPr>
          <w:rFonts w:hint="eastAsia" w:cs="宋体"/>
          <w:kern w:val="0"/>
          <w:sz w:val="24"/>
          <w:szCs w:val="24"/>
          <w:highlight w:val="none"/>
          <w:lang w:val="en-US" w:eastAsia="zh-CN" w:bidi="zh-CN"/>
        </w:rPr>
        <w:t>本项目为据实结算。</w:t>
      </w:r>
    </w:p>
    <w:p w14:paraId="3CB568BA">
      <w:pPr>
        <w:pStyle w:val="7"/>
        <w:keepNext w:val="0"/>
        <w:keepLines w:val="0"/>
        <w:pageBreakBefore w:val="0"/>
        <w:numPr>
          <w:ilvl w:val="0"/>
          <w:numId w:val="0"/>
        </w:numPr>
        <w:tabs>
          <w:tab w:val="left" w:pos="480"/>
        </w:tabs>
        <w:kinsoku/>
        <w:overflowPunct/>
        <w:topLinePunct w:val="0"/>
        <w:autoSpaceDE/>
        <w:autoSpaceDN/>
        <w:bidi w:val="0"/>
        <w:adjustRightInd/>
        <w:snapToGrid/>
        <w:spacing w:before="15" w:after="0" w:line="360" w:lineRule="auto"/>
        <w:ind w:right="0" w:rightChars="0" w:firstLine="480" w:firstLineChars="200"/>
        <w:jc w:val="left"/>
        <w:textAlignment w:val="auto"/>
        <w:rPr>
          <w:rFonts w:hint="default" w:ascii="宋体" w:hAnsi="宋体" w:eastAsia="宋体" w:cs="宋体"/>
          <w:kern w:val="0"/>
          <w:sz w:val="24"/>
          <w:szCs w:val="24"/>
          <w:highlight w:val="none"/>
          <w:lang w:val="en-US" w:eastAsia="zh-CN" w:bidi="zh-CN"/>
        </w:rPr>
      </w:pPr>
      <w:r>
        <w:rPr>
          <w:rFonts w:hint="eastAsia" w:ascii="宋体" w:hAnsi="宋体" w:eastAsia="宋体" w:cs="宋体"/>
          <w:kern w:val="0"/>
          <w:sz w:val="24"/>
          <w:szCs w:val="24"/>
          <w:highlight w:val="none"/>
          <w:lang w:val="en-US" w:eastAsia="zh-CN" w:bidi="zh-CN"/>
        </w:rPr>
        <w:t>2.合同履行期限：3年</w:t>
      </w:r>
    </w:p>
    <w:p w14:paraId="57DB974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kern w:val="0"/>
          <w:sz w:val="24"/>
          <w:szCs w:val="24"/>
          <w:highlight w:val="none"/>
          <w:lang w:val="en-US" w:eastAsia="zh-CN" w:bidi="zh-CN"/>
        </w:rPr>
      </w:pPr>
      <w:r>
        <w:rPr>
          <w:rFonts w:hint="eastAsia" w:ascii="宋体" w:hAnsi="宋体" w:eastAsia="宋体" w:cs="宋体"/>
          <w:kern w:val="0"/>
          <w:sz w:val="24"/>
          <w:szCs w:val="24"/>
          <w:highlight w:val="none"/>
          <w:lang w:val="en-US" w:eastAsia="zh-CN" w:bidi="zh-CN"/>
        </w:rPr>
        <w:t>3.合同支付约定：双方协商确定</w:t>
      </w:r>
    </w:p>
    <w:p w14:paraId="05BD3375">
      <w:pPr>
        <w:pStyle w:val="7"/>
        <w:keepNext w:val="0"/>
        <w:keepLines w:val="0"/>
        <w:pageBreakBefore w:val="0"/>
        <w:numPr>
          <w:ilvl w:val="0"/>
          <w:numId w:val="0"/>
        </w:numPr>
        <w:tabs>
          <w:tab w:val="left" w:pos="600"/>
        </w:tabs>
        <w:kinsoku/>
        <w:overflowPunct/>
        <w:topLinePunct w:val="0"/>
        <w:autoSpaceDE/>
        <w:autoSpaceDN/>
        <w:bidi w:val="0"/>
        <w:adjustRightInd/>
        <w:snapToGrid/>
        <w:spacing w:before="12" w:after="0" w:line="360" w:lineRule="auto"/>
        <w:ind w:right="0" w:rightChars="0" w:firstLine="480" w:firstLineChars="200"/>
        <w:jc w:val="left"/>
        <w:textAlignment w:val="auto"/>
        <w:rPr>
          <w:rFonts w:hint="eastAsia" w:ascii="宋体" w:hAnsi="宋体" w:eastAsia="宋体" w:cs="宋体"/>
          <w:kern w:val="0"/>
          <w:sz w:val="24"/>
          <w:szCs w:val="24"/>
          <w:highlight w:val="none"/>
          <w:lang w:val="en-US" w:eastAsia="zh-CN" w:bidi="zh-CN"/>
        </w:rPr>
      </w:pPr>
      <w:r>
        <w:rPr>
          <w:rFonts w:hint="eastAsia" w:ascii="宋体" w:hAnsi="宋体" w:eastAsia="宋体" w:cs="宋体"/>
          <w:kern w:val="0"/>
          <w:sz w:val="24"/>
          <w:szCs w:val="24"/>
          <w:highlight w:val="none"/>
          <w:lang w:val="en-US" w:eastAsia="zh-CN" w:bidi="zh-CN"/>
        </w:rPr>
        <w:t>4.违约责任与解决争议的方法：</w:t>
      </w:r>
    </w:p>
    <w:p w14:paraId="69D2D86B">
      <w:pPr>
        <w:pStyle w:val="7"/>
        <w:keepNext w:val="0"/>
        <w:keepLines w:val="0"/>
        <w:pageBreakBefore w:val="0"/>
        <w:numPr>
          <w:ilvl w:val="0"/>
          <w:numId w:val="0"/>
        </w:numPr>
        <w:tabs>
          <w:tab w:val="left" w:pos="600"/>
        </w:tabs>
        <w:kinsoku/>
        <w:overflowPunct/>
        <w:topLinePunct w:val="0"/>
        <w:autoSpaceDE/>
        <w:autoSpaceDN/>
        <w:bidi w:val="0"/>
        <w:adjustRightInd/>
        <w:snapToGrid/>
        <w:spacing w:before="12" w:after="0" w:line="360" w:lineRule="auto"/>
        <w:ind w:right="0" w:rightChars="0" w:firstLine="480" w:firstLineChars="200"/>
        <w:jc w:val="left"/>
        <w:textAlignment w:val="auto"/>
        <w:rPr>
          <w:rFonts w:hint="eastAsia" w:ascii="宋体" w:hAnsi="宋体" w:eastAsia="宋体" w:cs="宋体"/>
          <w:kern w:val="0"/>
          <w:sz w:val="24"/>
          <w:szCs w:val="24"/>
          <w:highlight w:val="none"/>
          <w:lang w:val="en-US" w:eastAsia="zh-CN" w:bidi="zh-CN"/>
        </w:rPr>
      </w:pPr>
      <w:r>
        <w:rPr>
          <w:rFonts w:hint="eastAsia" w:cs="宋体"/>
          <w:kern w:val="0"/>
          <w:sz w:val="24"/>
          <w:szCs w:val="24"/>
          <w:highlight w:val="none"/>
          <w:lang w:val="en-US" w:eastAsia="zh-CN" w:bidi="zh-CN"/>
        </w:rPr>
        <w:t>4.1</w:t>
      </w:r>
      <w:r>
        <w:rPr>
          <w:rFonts w:hint="eastAsia" w:ascii="宋体" w:hAnsi="宋体" w:eastAsia="宋体" w:cs="宋体"/>
          <w:kern w:val="0"/>
          <w:sz w:val="24"/>
          <w:szCs w:val="24"/>
          <w:highlight w:val="none"/>
          <w:lang w:val="en-US" w:eastAsia="zh-CN" w:bidi="zh-CN"/>
        </w:rPr>
        <w:t>、违约责任</w:t>
      </w:r>
    </w:p>
    <w:p w14:paraId="00FC8BCE">
      <w:pPr>
        <w:pStyle w:val="7"/>
        <w:keepNext w:val="0"/>
        <w:keepLines w:val="0"/>
        <w:pageBreakBefore w:val="0"/>
        <w:numPr>
          <w:ilvl w:val="0"/>
          <w:numId w:val="0"/>
        </w:numPr>
        <w:tabs>
          <w:tab w:val="left" w:pos="600"/>
        </w:tabs>
        <w:kinsoku/>
        <w:overflowPunct/>
        <w:topLinePunct w:val="0"/>
        <w:autoSpaceDE/>
        <w:autoSpaceDN/>
        <w:bidi w:val="0"/>
        <w:adjustRightInd/>
        <w:snapToGrid/>
        <w:spacing w:before="12" w:after="0" w:line="360" w:lineRule="auto"/>
        <w:ind w:right="0" w:rightChars="0" w:firstLine="480" w:firstLineChars="200"/>
        <w:jc w:val="left"/>
        <w:textAlignment w:val="auto"/>
        <w:rPr>
          <w:rFonts w:hint="eastAsia" w:ascii="宋体" w:hAnsi="宋体" w:eastAsia="宋体" w:cs="宋体"/>
          <w:kern w:val="0"/>
          <w:sz w:val="24"/>
          <w:szCs w:val="24"/>
          <w:highlight w:val="none"/>
          <w:lang w:val="en-US" w:eastAsia="zh-CN" w:bidi="zh-CN"/>
        </w:rPr>
      </w:pPr>
      <w:r>
        <w:rPr>
          <w:rFonts w:hint="eastAsia" w:cs="宋体"/>
          <w:kern w:val="0"/>
          <w:sz w:val="24"/>
          <w:szCs w:val="24"/>
          <w:highlight w:val="none"/>
          <w:lang w:val="en-US" w:eastAsia="zh-CN" w:bidi="zh-CN"/>
        </w:rPr>
        <w:t>4.1.</w:t>
      </w:r>
      <w:r>
        <w:rPr>
          <w:rFonts w:hint="eastAsia" w:ascii="宋体" w:hAnsi="宋体" w:eastAsia="宋体" w:cs="宋体"/>
          <w:kern w:val="0"/>
          <w:sz w:val="24"/>
          <w:szCs w:val="24"/>
          <w:highlight w:val="none"/>
          <w:lang w:val="en-US" w:eastAsia="zh-CN" w:bidi="zh-CN"/>
        </w:rPr>
        <w:t>1</w:t>
      </w:r>
      <w:r>
        <w:rPr>
          <w:rFonts w:hint="eastAsia" w:cs="宋体"/>
          <w:kern w:val="0"/>
          <w:sz w:val="24"/>
          <w:szCs w:val="24"/>
          <w:highlight w:val="none"/>
          <w:lang w:val="en-US" w:eastAsia="zh-CN" w:bidi="zh-CN"/>
        </w:rPr>
        <w:t>.</w:t>
      </w:r>
      <w:r>
        <w:rPr>
          <w:rFonts w:hint="eastAsia" w:ascii="宋体" w:hAnsi="宋体" w:eastAsia="宋体" w:cs="宋体"/>
          <w:kern w:val="0"/>
          <w:sz w:val="24"/>
          <w:szCs w:val="24"/>
          <w:highlight w:val="none"/>
          <w:lang w:val="en-US" w:eastAsia="zh-CN" w:bidi="zh-CN"/>
        </w:rPr>
        <w:t>中标人供应的消毒产品、质量不符合合同规定的，应向采购人支付该次货款总价百分之五的违约金，并须在合同规定的交货时间内更换合格的消毒产品给采购人，否则，视作中标人不能交付消毒产品而违约，按本条本款下述第“2”项规定由中标人偿付违约赔偿金给采购人。</w:t>
      </w:r>
    </w:p>
    <w:p w14:paraId="1F69A103">
      <w:pPr>
        <w:pStyle w:val="7"/>
        <w:keepNext w:val="0"/>
        <w:keepLines w:val="0"/>
        <w:pageBreakBefore w:val="0"/>
        <w:numPr>
          <w:ilvl w:val="0"/>
          <w:numId w:val="0"/>
        </w:numPr>
        <w:tabs>
          <w:tab w:val="left" w:pos="600"/>
        </w:tabs>
        <w:kinsoku/>
        <w:overflowPunct/>
        <w:topLinePunct w:val="0"/>
        <w:autoSpaceDE/>
        <w:autoSpaceDN/>
        <w:bidi w:val="0"/>
        <w:adjustRightInd/>
        <w:snapToGrid/>
        <w:spacing w:before="12" w:after="0" w:line="360" w:lineRule="auto"/>
        <w:ind w:right="0" w:rightChars="0" w:firstLine="480" w:firstLineChars="200"/>
        <w:jc w:val="left"/>
        <w:textAlignment w:val="auto"/>
        <w:rPr>
          <w:rFonts w:hint="eastAsia" w:ascii="宋体" w:hAnsi="宋体" w:eastAsia="宋体" w:cs="宋体"/>
          <w:kern w:val="0"/>
          <w:sz w:val="24"/>
          <w:szCs w:val="24"/>
          <w:highlight w:val="none"/>
          <w:lang w:val="en-US" w:eastAsia="zh-CN" w:bidi="zh-CN"/>
        </w:rPr>
      </w:pPr>
      <w:r>
        <w:rPr>
          <w:rFonts w:hint="eastAsia" w:cs="宋体"/>
          <w:kern w:val="0"/>
          <w:sz w:val="24"/>
          <w:szCs w:val="24"/>
          <w:highlight w:val="none"/>
          <w:lang w:val="en-US" w:eastAsia="zh-CN" w:bidi="zh-CN"/>
        </w:rPr>
        <w:t>4.1.</w:t>
      </w:r>
      <w:r>
        <w:rPr>
          <w:rFonts w:hint="eastAsia" w:ascii="宋体" w:hAnsi="宋体" w:eastAsia="宋体" w:cs="宋体"/>
          <w:kern w:val="0"/>
          <w:sz w:val="24"/>
          <w:szCs w:val="24"/>
          <w:highlight w:val="none"/>
          <w:lang w:val="en-US" w:eastAsia="zh-CN" w:bidi="zh-CN"/>
        </w:rPr>
        <w:t>2</w:t>
      </w:r>
      <w:r>
        <w:rPr>
          <w:rFonts w:hint="eastAsia" w:cs="宋体"/>
          <w:kern w:val="0"/>
          <w:sz w:val="24"/>
          <w:szCs w:val="24"/>
          <w:highlight w:val="none"/>
          <w:lang w:val="en-US" w:eastAsia="zh-CN" w:bidi="zh-CN"/>
        </w:rPr>
        <w:t>.</w:t>
      </w:r>
      <w:r>
        <w:rPr>
          <w:rFonts w:hint="eastAsia" w:ascii="宋体" w:hAnsi="宋体" w:eastAsia="宋体" w:cs="宋体"/>
          <w:kern w:val="0"/>
          <w:sz w:val="24"/>
          <w:szCs w:val="24"/>
          <w:highlight w:val="none"/>
          <w:lang w:val="en-US" w:eastAsia="zh-CN" w:bidi="zh-CN"/>
        </w:rPr>
        <w:t>中标人不能按合同约定及时、足量供应消毒产品而违约的，除应尽快按合同交付消毒产品外，还应向采购人偿付逾期交货部分货款总额的万分之五／天的违约金；逾期交货超过七天，采购人有权单方面解除本合同，中标人则应按合同总价的百分之十的款额向采购人偿付赔偿金。若采购人单方面解除合同，则自解除通知送达中标人时，本合同解除。</w:t>
      </w:r>
    </w:p>
    <w:p w14:paraId="11EE2B9C">
      <w:pPr>
        <w:pStyle w:val="7"/>
        <w:keepNext w:val="0"/>
        <w:keepLines w:val="0"/>
        <w:pageBreakBefore w:val="0"/>
        <w:numPr>
          <w:ilvl w:val="0"/>
          <w:numId w:val="0"/>
        </w:numPr>
        <w:tabs>
          <w:tab w:val="left" w:pos="600"/>
        </w:tabs>
        <w:kinsoku/>
        <w:overflowPunct/>
        <w:topLinePunct w:val="0"/>
        <w:autoSpaceDE/>
        <w:autoSpaceDN/>
        <w:bidi w:val="0"/>
        <w:adjustRightInd/>
        <w:snapToGrid/>
        <w:spacing w:before="12" w:after="0" w:line="360" w:lineRule="auto"/>
        <w:ind w:right="0" w:rightChars="0" w:firstLine="480" w:firstLineChars="200"/>
        <w:jc w:val="left"/>
        <w:textAlignment w:val="auto"/>
        <w:rPr>
          <w:rFonts w:hint="eastAsia" w:ascii="宋体" w:hAnsi="宋体" w:eastAsia="宋体" w:cs="宋体"/>
          <w:kern w:val="0"/>
          <w:sz w:val="24"/>
          <w:szCs w:val="24"/>
          <w:highlight w:val="none"/>
          <w:lang w:val="en-US" w:eastAsia="zh-CN" w:bidi="zh-CN"/>
        </w:rPr>
      </w:pPr>
      <w:r>
        <w:rPr>
          <w:rFonts w:hint="eastAsia" w:cs="宋体"/>
          <w:kern w:val="0"/>
          <w:sz w:val="24"/>
          <w:szCs w:val="24"/>
          <w:highlight w:val="none"/>
          <w:lang w:val="en-US" w:eastAsia="zh-CN" w:bidi="zh-CN"/>
        </w:rPr>
        <w:t>4.1.</w:t>
      </w:r>
      <w:r>
        <w:rPr>
          <w:rFonts w:hint="eastAsia" w:ascii="宋体" w:hAnsi="宋体" w:eastAsia="宋体" w:cs="宋体"/>
          <w:kern w:val="0"/>
          <w:sz w:val="24"/>
          <w:szCs w:val="24"/>
          <w:highlight w:val="none"/>
          <w:lang w:val="en-US" w:eastAsia="zh-CN" w:bidi="zh-CN"/>
        </w:rPr>
        <w:t>3</w:t>
      </w:r>
      <w:r>
        <w:rPr>
          <w:rFonts w:hint="eastAsia" w:cs="宋体"/>
          <w:kern w:val="0"/>
          <w:sz w:val="24"/>
          <w:szCs w:val="24"/>
          <w:highlight w:val="none"/>
          <w:lang w:val="en-US" w:eastAsia="zh-CN" w:bidi="zh-CN"/>
        </w:rPr>
        <w:t>.</w:t>
      </w:r>
      <w:r>
        <w:rPr>
          <w:rFonts w:hint="eastAsia" w:ascii="宋体" w:hAnsi="宋体" w:eastAsia="宋体" w:cs="宋体"/>
          <w:kern w:val="0"/>
          <w:sz w:val="24"/>
          <w:szCs w:val="24"/>
          <w:highlight w:val="none"/>
          <w:lang w:val="en-US" w:eastAsia="zh-CN" w:bidi="zh-CN"/>
        </w:rPr>
        <w:t>中标人承诺提供的全部消毒产品不存在任何知识产权争议或其他纠纷，如因此造成第三方向采购人主张权利等纠纷，均与采购人无关，给采购人造成损失的，由中标人自行承担责任并赔偿由此产生的所有费用。</w:t>
      </w:r>
    </w:p>
    <w:p w14:paraId="3E1B47AB">
      <w:pPr>
        <w:pStyle w:val="7"/>
        <w:keepNext w:val="0"/>
        <w:keepLines w:val="0"/>
        <w:pageBreakBefore w:val="0"/>
        <w:numPr>
          <w:ilvl w:val="0"/>
          <w:numId w:val="0"/>
        </w:numPr>
        <w:tabs>
          <w:tab w:val="left" w:pos="600"/>
        </w:tabs>
        <w:kinsoku/>
        <w:overflowPunct/>
        <w:topLinePunct w:val="0"/>
        <w:autoSpaceDE/>
        <w:autoSpaceDN/>
        <w:bidi w:val="0"/>
        <w:adjustRightInd/>
        <w:snapToGrid/>
        <w:spacing w:before="12" w:after="0" w:line="360" w:lineRule="auto"/>
        <w:ind w:right="0" w:rightChars="0" w:firstLine="480" w:firstLineChars="200"/>
        <w:jc w:val="left"/>
        <w:textAlignment w:val="auto"/>
        <w:rPr>
          <w:rFonts w:hint="eastAsia" w:ascii="宋体" w:hAnsi="宋体" w:eastAsia="宋体" w:cs="宋体"/>
          <w:kern w:val="0"/>
          <w:sz w:val="24"/>
          <w:szCs w:val="24"/>
          <w:highlight w:val="none"/>
          <w:lang w:val="en-US" w:eastAsia="zh-CN" w:bidi="zh-CN"/>
        </w:rPr>
      </w:pPr>
      <w:r>
        <w:rPr>
          <w:rFonts w:hint="eastAsia" w:cs="宋体"/>
          <w:kern w:val="0"/>
          <w:sz w:val="24"/>
          <w:szCs w:val="24"/>
          <w:highlight w:val="none"/>
          <w:lang w:val="en-US" w:eastAsia="zh-CN" w:bidi="zh-CN"/>
        </w:rPr>
        <w:t>4.4.</w:t>
      </w:r>
      <w:r>
        <w:rPr>
          <w:rFonts w:hint="eastAsia" w:ascii="宋体" w:hAnsi="宋体" w:eastAsia="宋体" w:cs="宋体"/>
          <w:kern w:val="0"/>
          <w:sz w:val="24"/>
          <w:szCs w:val="24"/>
          <w:highlight w:val="none"/>
          <w:lang w:val="en-US" w:eastAsia="zh-CN" w:bidi="zh-CN"/>
        </w:rPr>
        <w:t>4</w:t>
      </w:r>
      <w:r>
        <w:rPr>
          <w:rFonts w:hint="eastAsia" w:cs="宋体"/>
          <w:kern w:val="0"/>
          <w:sz w:val="24"/>
          <w:szCs w:val="24"/>
          <w:highlight w:val="none"/>
          <w:lang w:val="en-US" w:eastAsia="zh-CN" w:bidi="zh-CN"/>
        </w:rPr>
        <w:t>.</w:t>
      </w:r>
      <w:r>
        <w:rPr>
          <w:rFonts w:hint="eastAsia" w:ascii="宋体" w:hAnsi="宋体" w:eastAsia="宋体" w:cs="宋体"/>
          <w:kern w:val="0"/>
          <w:sz w:val="24"/>
          <w:szCs w:val="24"/>
          <w:highlight w:val="none"/>
          <w:lang w:val="en-US" w:eastAsia="zh-CN" w:bidi="zh-CN"/>
        </w:rPr>
        <w:t>中标人供应的消毒产品质量不符合要求，造成采购人被卫生行政主管部门处罚或造成采购人与患者（或第三方）之间产生纠纷等情形，或造成采购人损失的，由中标人承担采购人的全部损失。</w:t>
      </w:r>
    </w:p>
    <w:p w14:paraId="05FDA9C6">
      <w:pPr>
        <w:pStyle w:val="7"/>
        <w:keepNext w:val="0"/>
        <w:keepLines w:val="0"/>
        <w:pageBreakBefore w:val="0"/>
        <w:numPr>
          <w:ilvl w:val="0"/>
          <w:numId w:val="0"/>
        </w:numPr>
        <w:tabs>
          <w:tab w:val="left" w:pos="600"/>
        </w:tabs>
        <w:kinsoku/>
        <w:overflowPunct/>
        <w:topLinePunct w:val="0"/>
        <w:autoSpaceDE/>
        <w:autoSpaceDN/>
        <w:bidi w:val="0"/>
        <w:adjustRightInd/>
        <w:snapToGrid/>
        <w:spacing w:before="12" w:after="0" w:line="360" w:lineRule="auto"/>
        <w:ind w:right="0" w:rightChars="0" w:firstLine="480" w:firstLineChars="200"/>
        <w:jc w:val="left"/>
        <w:textAlignment w:val="auto"/>
        <w:rPr>
          <w:rFonts w:hint="eastAsia" w:ascii="宋体" w:hAnsi="宋体" w:eastAsia="宋体" w:cs="宋体"/>
          <w:kern w:val="0"/>
          <w:sz w:val="24"/>
          <w:szCs w:val="24"/>
          <w:highlight w:val="none"/>
          <w:lang w:val="en-US" w:eastAsia="zh-CN" w:bidi="zh-CN"/>
        </w:rPr>
      </w:pPr>
      <w:r>
        <w:rPr>
          <w:rFonts w:hint="eastAsia" w:cs="宋体"/>
          <w:kern w:val="0"/>
          <w:sz w:val="24"/>
          <w:szCs w:val="24"/>
          <w:highlight w:val="none"/>
          <w:lang w:val="en-US" w:eastAsia="zh-CN" w:bidi="zh-CN"/>
        </w:rPr>
        <w:t>4.2</w:t>
      </w:r>
      <w:r>
        <w:rPr>
          <w:rFonts w:hint="eastAsia" w:ascii="宋体" w:hAnsi="宋体" w:eastAsia="宋体" w:cs="宋体"/>
          <w:kern w:val="0"/>
          <w:sz w:val="24"/>
          <w:szCs w:val="24"/>
          <w:highlight w:val="none"/>
          <w:lang w:val="en-US" w:eastAsia="zh-CN" w:bidi="zh-CN"/>
        </w:rPr>
        <w:t>不可抗力</w:t>
      </w:r>
    </w:p>
    <w:p w14:paraId="35B967A5">
      <w:pPr>
        <w:pStyle w:val="7"/>
        <w:keepNext w:val="0"/>
        <w:keepLines w:val="0"/>
        <w:pageBreakBefore w:val="0"/>
        <w:numPr>
          <w:ilvl w:val="0"/>
          <w:numId w:val="0"/>
        </w:numPr>
        <w:tabs>
          <w:tab w:val="left" w:pos="600"/>
        </w:tabs>
        <w:kinsoku/>
        <w:overflowPunct/>
        <w:topLinePunct w:val="0"/>
        <w:autoSpaceDE/>
        <w:autoSpaceDN/>
        <w:bidi w:val="0"/>
        <w:adjustRightInd/>
        <w:snapToGrid/>
        <w:spacing w:before="12" w:after="0" w:line="360" w:lineRule="auto"/>
        <w:ind w:right="0" w:rightChars="0" w:firstLine="480" w:firstLineChars="200"/>
        <w:jc w:val="left"/>
        <w:textAlignment w:val="auto"/>
        <w:rPr>
          <w:rFonts w:hint="eastAsia" w:ascii="宋体" w:hAnsi="宋体" w:eastAsia="宋体" w:cs="宋体"/>
          <w:kern w:val="0"/>
          <w:sz w:val="24"/>
          <w:szCs w:val="24"/>
          <w:highlight w:val="none"/>
          <w:lang w:val="en-US" w:eastAsia="zh-CN" w:bidi="zh-CN"/>
        </w:rPr>
      </w:pPr>
      <w:r>
        <w:rPr>
          <w:rFonts w:hint="eastAsia" w:cs="宋体"/>
          <w:kern w:val="0"/>
          <w:sz w:val="24"/>
          <w:szCs w:val="24"/>
          <w:highlight w:val="none"/>
          <w:lang w:val="en-US" w:eastAsia="zh-CN" w:bidi="zh-CN"/>
        </w:rPr>
        <w:t>4.2.</w:t>
      </w:r>
      <w:r>
        <w:rPr>
          <w:rFonts w:hint="eastAsia" w:ascii="宋体" w:hAnsi="宋体" w:eastAsia="宋体" w:cs="宋体"/>
          <w:kern w:val="0"/>
          <w:sz w:val="24"/>
          <w:szCs w:val="24"/>
          <w:highlight w:val="none"/>
          <w:lang w:val="en-US" w:eastAsia="zh-CN" w:bidi="zh-CN"/>
        </w:rPr>
        <w:t>1</w:t>
      </w:r>
      <w:r>
        <w:rPr>
          <w:rFonts w:hint="eastAsia" w:cs="宋体"/>
          <w:kern w:val="0"/>
          <w:sz w:val="24"/>
          <w:szCs w:val="24"/>
          <w:highlight w:val="none"/>
          <w:lang w:val="en-US" w:eastAsia="zh-CN" w:bidi="zh-CN"/>
        </w:rPr>
        <w:t>.</w:t>
      </w:r>
      <w:r>
        <w:rPr>
          <w:rFonts w:hint="eastAsia" w:ascii="宋体" w:hAnsi="宋体" w:eastAsia="宋体" w:cs="宋体"/>
          <w:kern w:val="0"/>
          <w:sz w:val="24"/>
          <w:szCs w:val="24"/>
          <w:highlight w:val="none"/>
          <w:lang w:val="en-US" w:eastAsia="zh-CN" w:bidi="zh-CN"/>
        </w:rPr>
        <w:t>本条所述的“不可抗力”是指受影响方无法控制、不可预见的事件，包括战争、严重火灾、洪水、台风、地震及其他双方认可的事件，不包括故意违约或疏忽。</w:t>
      </w:r>
    </w:p>
    <w:p w14:paraId="778D90C3">
      <w:pPr>
        <w:pStyle w:val="7"/>
        <w:keepNext w:val="0"/>
        <w:keepLines w:val="0"/>
        <w:pageBreakBefore w:val="0"/>
        <w:numPr>
          <w:ilvl w:val="0"/>
          <w:numId w:val="0"/>
        </w:numPr>
        <w:tabs>
          <w:tab w:val="left" w:pos="600"/>
        </w:tabs>
        <w:kinsoku/>
        <w:overflowPunct/>
        <w:topLinePunct w:val="0"/>
        <w:autoSpaceDE/>
        <w:autoSpaceDN/>
        <w:bidi w:val="0"/>
        <w:adjustRightInd/>
        <w:snapToGrid/>
        <w:spacing w:before="12" w:after="0" w:line="360" w:lineRule="auto"/>
        <w:ind w:right="0" w:rightChars="0" w:firstLine="480" w:firstLineChars="200"/>
        <w:jc w:val="left"/>
        <w:textAlignment w:val="auto"/>
        <w:rPr>
          <w:rFonts w:hint="eastAsia" w:ascii="宋体" w:hAnsi="宋体" w:eastAsia="宋体" w:cs="宋体"/>
          <w:kern w:val="0"/>
          <w:sz w:val="24"/>
          <w:szCs w:val="24"/>
          <w:highlight w:val="none"/>
          <w:lang w:val="en-US" w:eastAsia="zh-CN" w:bidi="zh-CN"/>
        </w:rPr>
      </w:pPr>
      <w:r>
        <w:rPr>
          <w:rFonts w:hint="eastAsia" w:cs="宋体"/>
          <w:kern w:val="0"/>
          <w:sz w:val="24"/>
          <w:szCs w:val="24"/>
          <w:highlight w:val="none"/>
          <w:lang w:val="en-US" w:eastAsia="zh-CN" w:bidi="zh-CN"/>
        </w:rPr>
        <w:t>4.2.</w:t>
      </w:r>
      <w:r>
        <w:rPr>
          <w:rFonts w:hint="eastAsia" w:ascii="宋体" w:hAnsi="宋体" w:eastAsia="宋体" w:cs="宋体"/>
          <w:kern w:val="0"/>
          <w:sz w:val="24"/>
          <w:szCs w:val="24"/>
          <w:highlight w:val="none"/>
          <w:lang w:val="en-US" w:eastAsia="zh-CN" w:bidi="zh-CN"/>
        </w:rPr>
        <w:t>2</w:t>
      </w:r>
      <w:r>
        <w:rPr>
          <w:rFonts w:hint="eastAsia" w:cs="宋体"/>
          <w:kern w:val="0"/>
          <w:sz w:val="24"/>
          <w:szCs w:val="24"/>
          <w:highlight w:val="none"/>
          <w:lang w:val="en-US" w:eastAsia="zh-CN" w:bidi="zh-CN"/>
        </w:rPr>
        <w:t>.</w:t>
      </w:r>
      <w:r>
        <w:rPr>
          <w:rFonts w:hint="eastAsia" w:ascii="宋体" w:hAnsi="宋体" w:eastAsia="宋体" w:cs="宋体"/>
          <w:kern w:val="0"/>
          <w:sz w:val="24"/>
          <w:szCs w:val="24"/>
          <w:highlight w:val="none"/>
          <w:lang w:val="en-US" w:eastAsia="zh-CN" w:bidi="zh-CN"/>
        </w:rPr>
        <w:t>任何一方因不可抗力事件导致合同迟延履行或者不能履行的，不承担违约责任。</w:t>
      </w:r>
    </w:p>
    <w:p w14:paraId="2C12EC79">
      <w:pPr>
        <w:pStyle w:val="7"/>
        <w:keepNext w:val="0"/>
        <w:keepLines w:val="0"/>
        <w:pageBreakBefore w:val="0"/>
        <w:numPr>
          <w:ilvl w:val="0"/>
          <w:numId w:val="0"/>
        </w:numPr>
        <w:tabs>
          <w:tab w:val="left" w:pos="600"/>
        </w:tabs>
        <w:kinsoku/>
        <w:overflowPunct/>
        <w:topLinePunct w:val="0"/>
        <w:autoSpaceDE/>
        <w:autoSpaceDN/>
        <w:bidi w:val="0"/>
        <w:adjustRightInd/>
        <w:snapToGrid/>
        <w:spacing w:before="12" w:after="0" w:line="360" w:lineRule="auto"/>
        <w:ind w:right="0" w:rightChars="0" w:firstLine="480" w:firstLineChars="200"/>
        <w:jc w:val="left"/>
        <w:textAlignment w:val="auto"/>
        <w:rPr>
          <w:rFonts w:hint="eastAsia" w:ascii="宋体" w:hAnsi="宋体" w:eastAsia="宋体" w:cs="宋体"/>
          <w:kern w:val="0"/>
          <w:sz w:val="24"/>
          <w:szCs w:val="24"/>
          <w:highlight w:val="none"/>
          <w:lang w:val="en-US" w:eastAsia="zh-CN" w:bidi="zh-CN"/>
        </w:rPr>
      </w:pPr>
      <w:r>
        <w:rPr>
          <w:rFonts w:hint="eastAsia" w:cs="宋体"/>
          <w:kern w:val="0"/>
          <w:sz w:val="24"/>
          <w:szCs w:val="24"/>
          <w:highlight w:val="none"/>
          <w:lang w:val="en-US" w:eastAsia="zh-CN" w:bidi="zh-CN"/>
        </w:rPr>
        <w:t>4.2.</w:t>
      </w:r>
      <w:r>
        <w:rPr>
          <w:rFonts w:hint="eastAsia" w:ascii="宋体" w:hAnsi="宋体" w:eastAsia="宋体" w:cs="宋体"/>
          <w:kern w:val="0"/>
          <w:sz w:val="24"/>
          <w:szCs w:val="24"/>
          <w:highlight w:val="none"/>
          <w:lang w:val="en-US" w:eastAsia="zh-CN" w:bidi="zh-CN"/>
        </w:rPr>
        <w:t>3</w:t>
      </w:r>
      <w:r>
        <w:rPr>
          <w:rFonts w:hint="eastAsia" w:cs="宋体"/>
          <w:kern w:val="0"/>
          <w:sz w:val="24"/>
          <w:szCs w:val="24"/>
          <w:highlight w:val="none"/>
          <w:lang w:val="en-US" w:eastAsia="zh-CN" w:bidi="zh-CN"/>
        </w:rPr>
        <w:t>.</w:t>
      </w:r>
      <w:r>
        <w:rPr>
          <w:rFonts w:hint="eastAsia" w:ascii="宋体" w:hAnsi="宋体" w:eastAsia="宋体" w:cs="宋体"/>
          <w:kern w:val="0"/>
          <w:sz w:val="24"/>
          <w:szCs w:val="24"/>
          <w:highlight w:val="none"/>
          <w:lang w:val="en-US" w:eastAsia="zh-CN" w:bidi="zh-CN"/>
        </w:rPr>
        <w:t>在不可抗力事件发生后，遭遇不可抗力的一方应尽快以书面形式将不可抗力的情况和原因通知对方，除对方同意外，在不可抗力情形消除后应继续履行合同义务。</w:t>
      </w:r>
    </w:p>
    <w:p w14:paraId="2CE63BC6">
      <w:pPr>
        <w:pStyle w:val="7"/>
        <w:keepNext w:val="0"/>
        <w:keepLines w:val="0"/>
        <w:pageBreakBefore w:val="0"/>
        <w:numPr>
          <w:ilvl w:val="0"/>
          <w:numId w:val="0"/>
        </w:numPr>
        <w:tabs>
          <w:tab w:val="left" w:pos="600"/>
        </w:tabs>
        <w:kinsoku/>
        <w:overflowPunct/>
        <w:topLinePunct w:val="0"/>
        <w:autoSpaceDE/>
        <w:autoSpaceDN/>
        <w:bidi w:val="0"/>
        <w:adjustRightInd/>
        <w:snapToGrid/>
        <w:spacing w:before="12" w:after="0" w:line="360" w:lineRule="auto"/>
        <w:ind w:right="0" w:rightChars="0" w:firstLine="480" w:firstLineChars="200"/>
        <w:jc w:val="left"/>
        <w:textAlignment w:val="auto"/>
        <w:rPr>
          <w:rFonts w:hint="eastAsia" w:ascii="宋体" w:hAnsi="宋体" w:eastAsia="宋体" w:cs="宋体"/>
          <w:kern w:val="0"/>
          <w:sz w:val="24"/>
          <w:szCs w:val="24"/>
          <w:highlight w:val="none"/>
          <w:lang w:val="en-US" w:eastAsia="zh-CN" w:bidi="zh-CN"/>
        </w:rPr>
      </w:pPr>
      <w:r>
        <w:rPr>
          <w:rFonts w:hint="eastAsia" w:cs="宋体"/>
          <w:kern w:val="0"/>
          <w:sz w:val="24"/>
          <w:szCs w:val="24"/>
          <w:highlight w:val="none"/>
          <w:lang w:val="en-US" w:eastAsia="zh-CN" w:bidi="zh-CN"/>
        </w:rPr>
        <w:t>4.3</w:t>
      </w:r>
      <w:r>
        <w:rPr>
          <w:rFonts w:hint="eastAsia" w:ascii="宋体" w:hAnsi="宋体" w:eastAsia="宋体" w:cs="宋体"/>
          <w:kern w:val="0"/>
          <w:sz w:val="24"/>
          <w:szCs w:val="24"/>
          <w:highlight w:val="none"/>
          <w:lang w:val="en-US" w:eastAsia="zh-CN" w:bidi="zh-CN"/>
        </w:rPr>
        <w:t>、解决争议的方法</w:t>
      </w:r>
    </w:p>
    <w:p w14:paraId="1439FE11">
      <w:pPr>
        <w:pStyle w:val="7"/>
        <w:keepNext w:val="0"/>
        <w:keepLines w:val="0"/>
        <w:pageBreakBefore w:val="0"/>
        <w:numPr>
          <w:ilvl w:val="0"/>
          <w:numId w:val="0"/>
        </w:numPr>
        <w:tabs>
          <w:tab w:val="left" w:pos="600"/>
        </w:tabs>
        <w:kinsoku/>
        <w:overflowPunct/>
        <w:topLinePunct w:val="0"/>
        <w:autoSpaceDE/>
        <w:autoSpaceDN/>
        <w:bidi w:val="0"/>
        <w:adjustRightInd/>
        <w:snapToGrid/>
        <w:spacing w:before="12" w:after="0" w:line="360" w:lineRule="auto"/>
        <w:ind w:right="0" w:rightChars="0" w:firstLine="480" w:firstLineChars="200"/>
        <w:jc w:val="left"/>
        <w:textAlignment w:val="auto"/>
        <w:rPr>
          <w:rFonts w:hint="eastAsia" w:ascii="宋体" w:hAnsi="宋体" w:eastAsia="宋体" w:cs="宋体"/>
          <w:kern w:val="0"/>
          <w:sz w:val="24"/>
          <w:szCs w:val="24"/>
          <w:highlight w:val="none"/>
          <w:lang w:val="en-US" w:eastAsia="zh-CN" w:bidi="zh-CN"/>
        </w:rPr>
      </w:pPr>
      <w:r>
        <w:rPr>
          <w:rFonts w:hint="eastAsia" w:cs="宋体"/>
          <w:kern w:val="0"/>
          <w:sz w:val="24"/>
          <w:szCs w:val="24"/>
          <w:highlight w:val="none"/>
          <w:lang w:val="en-US" w:eastAsia="zh-CN" w:bidi="zh-CN"/>
        </w:rPr>
        <w:t>4.3.</w:t>
      </w:r>
      <w:r>
        <w:rPr>
          <w:rFonts w:hint="eastAsia" w:ascii="宋体" w:hAnsi="宋体" w:eastAsia="宋体" w:cs="宋体"/>
          <w:kern w:val="0"/>
          <w:sz w:val="24"/>
          <w:szCs w:val="24"/>
          <w:highlight w:val="none"/>
          <w:lang w:val="en-US" w:eastAsia="zh-CN" w:bidi="zh-CN"/>
        </w:rPr>
        <w:t>1</w:t>
      </w:r>
      <w:r>
        <w:rPr>
          <w:rFonts w:hint="eastAsia" w:cs="宋体"/>
          <w:kern w:val="0"/>
          <w:sz w:val="24"/>
          <w:szCs w:val="24"/>
          <w:highlight w:val="none"/>
          <w:lang w:val="en-US" w:eastAsia="zh-CN" w:bidi="zh-CN"/>
        </w:rPr>
        <w:t>.</w:t>
      </w:r>
      <w:r>
        <w:rPr>
          <w:rFonts w:hint="eastAsia" w:ascii="宋体" w:hAnsi="宋体" w:eastAsia="宋体" w:cs="宋体"/>
          <w:kern w:val="0"/>
          <w:sz w:val="24"/>
          <w:szCs w:val="24"/>
          <w:highlight w:val="none"/>
          <w:lang w:val="en-US" w:eastAsia="zh-CN" w:bidi="zh-CN"/>
        </w:rPr>
        <w:t>因消毒产品质量问题发生争议，由卫生行政管理部门或其指定的质量鉴定机构进行质量鉴定。消毒产品符合标准的，鉴定费由采购人承担；消毒产不符合质量标准的，鉴定费由中标人承担。</w:t>
      </w:r>
    </w:p>
    <w:p w14:paraId="79FA0AF2">
      <w:pPr>
        <w:pStyle w:val="6"/>
        <w:keepNext w:val="0"/>
        <w:keepLines w:val="0"/>
        <w:pageBreakBefore w:val="0"/>
        <w:kinsoku/>
        <w:overflowPunct/>
        <w:topLinePunct w:val="0"/>
        <w:autoSpaceDE/>
        <w:autoSpaceDN/>
        <w:bidi w:val="0"/>
        <w:adjustRightInd/>
        <w:snapToGrid/>
        <w:spacing w:line="360" w:lineRule="auto"/>
        <w:ind w:firstLine="480" w:firstLineChars="200"/>
        <w:jc w:val="left"/>
        <w:textAlignment w:val="auto"/>
        <w:outlineLvl w:val="1"/>
        <w:rPr>
          <w:rFonts w:hint="eastAsia" w:ascii="宋体" w:hAnsi="宋体" w:eastAsia="宋体" w:cs="宋体"/>
          <w:kern w:val="0"/>
          <w:sz w:val="24"/>
          <w:szCs w:val="24"/>
          <w:highlight w:val="none"/>
          <w:lang w:val="en-US" w:eastAsia="zh-CN" w:bidi="zh-CN"/>
        </w:rPr>
      </w:pPr>
      <w:r>
        <w:rPr>
          <w:rFonts w:hint="eastAsia" w:ascii="宋体" w:hAnsi="宋体" w:eastAsia="宋体" w:cs="宋体"/>
          <w:kern w:val="0"/>
          <w:sz w:val="24"/>
          <w:szCs w:val="24"/>
          <w:highlight w:val="none"/>
          <w:lang w:val="en-US" w:eastAsia="zh-CN" w:bidi="zh-CN"/>
        </w:rPr>
        <w:t>4.3.2．合同履行期间，若双方发生争议，可协商或由有关部门调解解决，协商或调解不成的，任何一方均可向采购人住所地人民法院提起诉讼解决。</w:t>
      </w:r>
    </w:p>
    <w:p w14:paraId="02101005">
      <w:pPr>
        <w:pStyle w:val="6"/>
        <w:spacing w:line="360" w:lineRule="auto"/>
        <w:ind w:firstLine="480" w:firstLineChars="0"/>
        <w:jc w:val="left"/>
        <w:outlineLvl w:val="1"/>
        <w:rPr>
          <w:rFonts w:hint="eastAsia" w:ascii="宋体" w:hAnsi="宋体" w:eastAsia="宋体" w:cs="宋体"/>
          <w:b/>
          <w:kern w:val="2"/>
          <w:sz w:val="24"/>
          <w:szCs w:val="24"/>
          <w:lang w:val="en-US" w:eastAsia="zh-CN" w:bidi="ar-SA"/>
        </w:rPr>
      </w:pPr>
      <w:r>
        <w:rPr>
          <w:rFonts w:hint="eastAsia" w:ascii="宋体" w:hAnsi="宋体" w:eastAsia="宋体" w:cs="宋体"/>
          <w:b/>
          <w:kern w:val="2"/>
          <w:sz w:val="24"/>
          <w:szCs w:val="24"/>
          <w:lang w:val="en-US" w:eastAsia="zh-CN" w:bidi="ar-SA"/>
        </w:rPr>
        <w:t>五、</w:t>
      </w:r>
      <w:r>
        <w:rPr>
          <w:rFonts w:hint="eastAsia" w:ascii="宋体" w:hAnsi="宋体" w:eastAsia="宋体" w:cs="宋体"/>
          <w:sz w:val="24"/>
          <w:szCs w:val="24"/>
          <w:highlight w:val="none"/>
        </w:rPr>
        <w:t>★</w:t>
      </w:r>
      <w:r>
        <w:rPr>
          <w:rFonts w:hint="eastAsia" w:ascii="宋体" w:hAnsi="宋体" w:eastAsia="宋体" w:cs="宋体"/>
          <w:b/>
          <w:kern w:val="2"/>
          <w:sz w:val="24"/>
          <w:szCs w:val="24"/>
          <w:lang w:val="en-US" w:eastAsia="zh-CN" w:bidi="ar-SA"/>
        </w:rPr>
        <w:t>履约验收方案</w:t>
      </w:r>
    </w:p>
    <w:p w14:paraId="74B9B741">
      <w:pPr>
        <w:pStyle w:val="7"/>
        <w:keepNext w:val="0"/>
        <w:keepLines w:val="0"/>
        <w:pageBreakBefore w:val="0"/>
        <w:numPr>
          <w:ilvl w:val="0"/>
          <w:numId w:val="0"/>
        </w:numPr>
        <w:tabs>
          <w:tab w:val="left" w:pos="600"/>
        </w:tabs>
        <w:kinsoku/>
        <w:wordWrap/>
        <w:overflowPunct/>
        <w:topLinePunct w:val="0"/>
        <w:autoSpaceDE/>
        <w:autoSpaceDN/>
        <w:bidi w:val="0"/>
        <w:adjustRightInd/>
        <w:snapToGrid/>
        <w:spacing w:before="33" w:after="0" w:line="360" w:lineRule="auto"/>
        <w:ind w:right="0" w:rightChars="0" w:firstLine="480" w:firstLineChars="200"/>
        <w:jc w:val="both"/>
        <w:textAlignment w:val="auto"/>
        <w:rPr>
          <w:rFonts w:hint="eastAsia" w:ascii="宋体" w:hAnsi="宋体" w:eastAsia="宋体" w:cs="宋体"/>
          <w:sz w:val="24"/>
          <w:szCs w:val="24"/>
          <w:lang w:val="en-US" w:eastAsia="zh-Hans"/>
        </w:rPr>
      </w:pPr>
      <w:r>
        <w:rPr>
          <w:rFonts w:hint="eastAsia" w:ascii="宋体" w:hAnsi="宋体" w:eastAsia="宋体" w:cs="宋体"/>
          <w:sz w:val="24"/>
          <w:szCs w:val="24"/>
          <w:lang w:val="en-US" w:eastAsia="zh-CN"/>
        </w:rPr>
        <w:t>1、</w:t>
      </w:r>
      <w:r>
        <w:rPr>
          <w:rFonts w:hint="eastAsia" w:ascii="宋体" w:hAnsi="宋体" w:eastAsia="宋体" w:cs="宋体"/>
          <w:sz w:val="24"/>
          <w:szCs w:val="24"/>
          <w:lang w:val="en-US" w:eastAsia="zh-Hans"/>
        </w:rPr>
        <w:t>履约验收程序：</w:t>
      </w:r>
      <w:r>
        <w:rPr>
          <w:rFonts w:hint="eastAsia" w:ascii="宋体" w:hAnsi="宋体" w:eastAsia="宋体" w:cs="宋体"/>
          <w:sz w:val="24"/>
          <w:szCs w:val="24"/>
          <w:lang w:val="en-US" w:eastAsia="zh-CN"/>
        </w:rPr>
        <w:t>合同期限内，采购人下达采购计划，中标人按照采购计划分批次送货，采购人</w:t>
      </w:r>
      <w:r>
        <w:rPr>
          <w:rFonts w:hint="eastAsia" w:ascii="宋体" w:hAnsi="宋体" w:eastAsia="宋体" w:cs="宋体"/>
          <w:sz w:val="24"/>
          <w:szCs w:val="24"/>
          <w:lang w:val="en-US" w:eastAsia="zh-Hans"/>
        </w:rPr>
        <w:t>对送达的</w:t>
      </w:r>
      <w:r>
        <w:rPr>
          <w:rFonts w:hint="eastAsia" w:ascii="宋体" w:hAnsi="宋体" w:eastAsia="宋体" w:cs="宋体"/>
          <w:sz w:val="24"/>
          <w:szCs w:val="24"/>
          <w:lang w:val="en-US" w:eastAsia="zh-CN"/>
        </w:rPr>
        <w:t>产品</w:t>
      </w:r>
      <w:r>
        <w:rPr>
          <w:rFonts w:hint="eastAsia" w:ascii="宋体" w:hAnsi="宋体" w:eastAsia="宋体" w:cs="宋体"/>
          <w:sz w:val="24"/>
          <w:szCs w:val="24"/>
          <w:lang w:val="en-US" w:eastAsia="zh-Hans"/>
        </w:rPr>
        <w:t>进行验收，</w:t>
      </w:r>
      <w:r>
        <w:rPr>
          <w:rFonts w:hint="eastAsia" w:ascii="宋体" w:hAnsi="宋体" w:eastAsia="宋体" w:cs="宋体"/>
          <w:sz w:val="24"/>
          <w:szCs w:val="24"/>
          <w:lang w:val="en-US" w:eastAsia="zh-CN"/>
        </w:rPr>
        <w:t>采购人完成</w:t>
      </w:r>
      <w:r>
        <w:rPr>
          <w:rFonts w:hint="eastAsia" w:ascii="宋体" w:hAnsi="宋体" w:eastAsia="宋体" w:cs="宋体"/>
          <w:sz w:val="24"/>
          <w:szCs w:val="24"/>
          <w:lang w:val="en-US" w:eastAsia="zh-Hans"/>
        </w:rPr>
        <w:t>签字验收</w:t>
      </w:r>
      <w:r>
        <w:rPr>
          <w:rFonts w:hint="eastAsia" w:ascii="宋体" w:hAnsi="宋体" w:eastAsia="宋体" w:cs="宋体"/>
          <w:sz w:val="24"/>
          <w:szCs w:val="24"/>
          <w:lang w:val="en-US" w:eastAsia="zh-CN"/>
        </w:rPr>
        <w:t>入库后</w:t>
      </w:r>
      <w:r>
        <w:rPr>
          <w:rFonts w:hint="eastAsia" w:ascii="宋体" w:hAnsi="宋体" w:eastAsia="宋体" w:cs="宋体"/>
          <w:sz w:val="24"/>
          <w:szCs w:val="24"/>
          <w:lang w:val="en-US" w:eastAsia="zh-Hans"/>
        </w:rPr>
        <w:t>后即视为验收合格</w:t>
      </w:r>
      <w:r>
        <w:rPr>
          <w:rFonts w:hint="eastAsia" w:ascii="宋体" w:hAnsi="宋体" w:eastAsia="宋体" w:cs="宋体"/>
          <w:sz w:val="24"/>
          <w:szCs w:val="24"/>
          <w:lang w:val="en-US" w:eastAsia="zh-CN"/>
        </w:rPr>
        <w:t>。</w:t>
      </w:r>
    </w:p>
    <w:p w14:paraId="18E537B9">
      <w:pPr>
        <w:pStyle w:val="7"/>
        <w:keepNext w:val="0"/>
        <w:keepLines w:val="0"/>
        <w:pageBreakBefore w:val="0"/>
        <w:numPr>
          <w:ilvl w:val="0"/>
          <w:numId w:val="0"/>
        </w:numPr>
        <w:tabs>
          <w:tab w:val="left" w:pos="600"/>
        </w:tabs>
        <w:kinsoku/>
        <w:wordWrap/>
        <w:overflowPunct/>
        <w:topLinePunct w:val="0"/>
        <w:autoSpaceDE/>
        <w:autoSpaceDN/>
        <w:bidi w:val="0"/>
        <w:adjustRightInd/>
        <w:snapToGrid/>
        <w:spacing w:before="31" w:after="0" w:line="360" w:lineRule="auto"/>
        <w:ind w:right="0" w:rightChars="0" w:firstLine="480" w:firstLineChars="20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val="en-US" w:eastAsia="zh-Hans"/>
        </w:rPr>
        <w:t>履约验收时间：</w:t>
      </w:r>
      <w:r>
        <w:rPr>
          <w:rFonts w:hint="eastAsia" w:ascii="宋体" w:hAnsi="宋体" w:eastAsia="宋体" w:cs="宋体"/>
          <w:sz w:val="24"/>
          <w:szCs w:val="24"/>
          <w:lang w:val="en-US" w:eastAsia="zh-CN"/>
        </w:rPr>
        <w:t>中标人按照采购人的要求送达货物后，采购人组织验收并入库。</w:t>
      </w:r>
    </w:p>
    <w:p w14:paraId="07610673">
      <w:pPr>
        <w:pStyle w:val="7"/>
        <w:keepNext w:val="0"/>
        <w:keepLines w:val="0"/>
        <w:pageBreakBefore w:val="0"/>
        <w:numPr>
          <w:ilvl w:val="0"/>
          <w:numId w:val="0"/>
        </w:numPr>
        <w:tabs>
          <w:tab w:val="left" w:pos="600"/>
        </w:tabs>
        <w:kinsoku/>
        <w:wordWrap/>
        <w:overflowPunct/>
        <w:topLinePunct w:val="0"/>
        <w:autoSpaceDE/>
        <w:autoSpaceDN/>
        <w:bidi w:val="0"/>
        <w:adjustRightInd/>
        <w:snapToGrid/>
        <w:spacing w:before="34" w:after="0" w:line="360" w:lineRule="auto"/>
        <w:ind w:right="0" w:rightChars="0" w:firstLine="480" w:firstLineChars="200"/>
        <w:jc w:val="both"/>
        <w:textAlignment w:val="auto"/>
        <w:rPr>
          <w:rFonts w:hint="eastAsia" w:ascii="宋体" w:hAnsi="宋体" w:eastAsia="宋体" w:cs="宋体"/>
          <w:sz w:val="24"/>
          <w:szCs w:val="24"/>
          <w:lang w:val="en-US" w:eastAsia="zh-Hans"/>
        </w:rPr>
      </w:pPr>
      <w:r>
        <w:rPr>
          <w:rFonts w:hint="eastAsia" w:ascii="宋体" w:hAnsi="宋体" w:eastAsia="宋体" w:cs="宋体"/>
          <w:sz w:val="24"/>
          <w:szCs w:val="24"/>
          <w:lang w:val="en-US" w:eastAsia="zh-CN"/>
        </w:rPr>
        <w:t>3、</w:t>
      </w:r>
      <w:r>
        <w:rPr>
          <w:rFonts w:hint="eastAsia" w:ascii="宋体" w:hAnsi="宋体" w:eastAsia="宋体" w:cs="宋体"/>
          <w:sz w:val="24"/>
          <w:szCs w:val="24"/>
          <w:lang w:val="en-US" w:eastAsia="zh-Hans"/>
        </w:rPr>
        <w:t>验收组织的其他事项：</w:t>
      </w:r>
      <w:r>
        <w:rPr>
          <w:rFonts w:hint="eastAsia" w:ascii="宋体" w:hAnsi="宋体" w:eastAsia="宋体" w:cs="宋体"/>
          <w:sz w:val="24"/>
          <w:szCs w:val="24"/>
          <w:lang w:val="en-US" w:eastAsia="zh-CN"/>
        </w:rPr>
        <w:t>无</w:t>
      </w:r>
    </w:p>
    <w:p w14:paraId="51F9E70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Hans"/>
        </w:rPr>
      </w:pPr>
      <w:r>
        <w:rPr>
          <w:rFonts w:hint="eastAsia" w:ascii="宋体" w:hAnsi="宋体" w:eastAsia="宋体" w:cs="宋体"/>
          <w:sz w:val="24"/>
          <w:szCs w:val="24"/>
          <w:lang w:val="en-US" w:eastAsia="zh-CN"/>
        </w:rPr>
        <w:t>4、</w:t>
      </w:r>
      <w:r>
        <w:rPr>
          <w:rFonts w:hint="eastAsia" w:ascii="宋体" w:hAnsi="宋体" w:eastAsia="宋体" w:cs="宋体"/>
          <w:sz w:val="24"/>
          <w:szCs w:val="24"/>
          <w:lang w:val="en-US" w:eastAsia="zh-Hans"/>
        </w:rPr>
        <w:t>技术履约验收内容：</w:t>
      </w:r>
      <w:r>
        <w:rPr>
          <w:rFonts w:hint="default" w:ascii="宋体" w:hAnsi="宋体" w:eastAsia="宋体" w:cs="宋体"/>
          <w:sz w:val="24"/>
          <w:szCs w:val="24"/>
          <w:lang w:val="en-US" w:eastAsia="zh-CN"/>
        </w:rPr>
        <w:t>采购人按照本项目技术要求进行验收</w:t>
      </w:r>
      <w:r>
        <w:rPr>
          <w:rFonts w:hint="eastAsia" w:ascii="宋体" w:hAnsi="宋体" w:eastAsia="宋体" w:cs="宋体"/>
          <w:sz w:val="24"/>
          <w:szCs w:val="24"/>
          <w:lang w:val="en-US" w:eastAsia="zh-CN"/>
        </w:rPr>
        <w:t>。</w:t>
      </w:r>
    </w:p>
    <w:p w14:paraId="1386A78A">
      <w:pPr>
        <w:pStyle w:val="7"/>
        <w:keepNext w:val="0"/>
        <w:keepLines w:val="0"/>
        <w:pageBreakBefore w:val="0"/>
        <w:numPr>
          <w:ilvl w:val="0"/>
          <w:numId w:val="0"/>
        </w:numPr>
        <w:tabs>
          <w:tab w:val="left" w:pos="720"/>
        </w:tabs>
        <w:kinsoku/>
        <w:wordWrap/>
        <w:overflowPunct/>
        <w:topLinePunct w:val="0"/>
        <w:autoSpaceDE/>
        <w:autoSpaceDN/>
        <w:bidi w:val="0"/>
        <w:adjustRightInd/>
        <w:snapToGrid/>
        <w:spacing w:before="31" w:after="0" w:line="360" w:lineRule="auto"/>
        <w:ind w:right="0" w:rightChars="0" w:firstLine="480" w:firstLineChars="200"/>
        <w:jc w:val="both"/>
        <w:textAlignment w:val="auto"/>
        <w:rPr>
          <w:rFonts w:hint="eastAsia" w:ascii="宋体" w:hAnsi="宋体" w:eastAsia="宋体" w:cs="宋体"/>
          <w:sz w:val="24"/>
          <w:szCs w:val="24"/>
          <w:lang w:val="en-US" w:eastAsia="zh-Hans"/>
        </w:rPr>
      </w:pPr>
      <w:r>
        <w:rPr>
          <w:rFonts w:hint="eastAsia" w:ascii="宋体" w:hAnsi="宋体" w:eastAsia="宋体" w:cs="宋体"/>
          <w:sz w:val="24"/>
          <w:szCs w:val="24"/>
          <w:lang w:val="en-US" w:eastAsia="zh-CN"/>
        </w:rPr>
        <w:t>5、</w:t>
      </w:r>
      <w:r>
        <w:rPr>
          <w:rFonts w:hint="eastAsia" w:ascii="宋体" w:hAnsi="宋体" w:eastAsia="宋体" w:cs="宋体"/>
          <w:sz w:val="24"/>
          <w:szCs w:val="24"/>
          <w:lang w:val="en-US" w:eastAsia="zh-Hans"/>
        </w:rPr>
        <w:t>商务履约验收内容：采购人按照本项目商务要求进行验收。</w:t>
      </w:r>
    </w:p>
    <w:p w14:paraId="349D87EA">
      <w:pPr>
        <w:pStyle w:val="6"/>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val="en-US" w:eastAsia="zh-Hans"/>
        </w:rPr>
        <w:t>履约收标准：</w:t>
      </w:r>
      <w:r>
        <w:rPr>
          <w:rFonts w:hint="eastAsia" w:ascii="宋体" w:hAnsi="宋体" w:eastAsia="宋体" w:cs="宋体"/>
          <w:sz w:val="24"/>
          <w:szCs w:val="24"/>
          <w:lang w:val="en-US" w:eastAsia="zh-CN"/>
        </w:rPr>
        <w:t>采购人按照本项目合同要求进行验收。</w:t>
      </w:r>
    </w:p>
    <w:p w14:paraId="1E50EC72">
      <w:pPr>
        <w:bidi w:val="0"/>
        <w:rPr>
          <w:rFonts w:hint="default"/>
          <w:b/>
          <w:bCs/>
          <w:lang w:val="en-US" w:eastAsia="zh-CN"/>
        </w:rPr>
      </w:pPr>
      <w:r>
        <w:rPr>
          <w:rFonts w:hint="eastAsia"/>
          <w:b/>
          <w:bCs/>
          <w:lang w:val="en-US" w:eastAsia="zh-CN"/>
        </w:rPr>
        <w:t>注：</w:t>
      </w:r>
      <w:r>
        <w:rPr>
          <w:rFonts w:hint="eastAsia" w:ascii="宋体" w:hAnsi="宋体" w:eastAsia="宋体" w:cs="宋体"/>
          <w:b/>
          <w:bCs/>
          <w:kern w:val="0"/>
          <w:sz w:val="24"/>
          <w:szCs w:val="24"/>
          <w:lang w:val="zh-CN" w:bidi="zh-CN"/>
        </w:rPr>
        <w:t>★</w:t>
      </w:r>
      <w:r>
        <w:rPr>
          <w:rFonts w:hint="eastAsia" w:ascii="宋体" w:hAnsi="宋体" w:cs="宋体"/>
          <w:b/>
          <w:bCs/>
          <w:kern w:val="0"/>
          <w:sz w:val="24"/>
          <w:szCs w:val="24"/>
          <w:lang w:val="en-US" w:bidi="zh-CN"/>
        </w:rPr>
        <w:t>条款为本项目实质性要求，不满足视为无效响应。</w:t>
      </w:r>
    </w:p>
    <w:p w14:paraId="47229514">
      <w:bookmarkStart w:id="5" w:name="_GoBack"/>
      <w:bookmarkEnd w:id="5"/>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A3FDC6"/>
    <w:multiLevelType w:val="singleLevel"/>
    <w:tmpl w:val="02A3FDC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0C3026"/>
    <w:rsid w:val="144F71A3"/>
    <w:rsid w:val="6C0C3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60" w:lineRule="exact"/>
      <w:ind w:firstLine="200" w:firstLineChars="200"/>
      <w:jc w:val="both"/>
    </w:pPr>
    <w:rPr>
      <w:rFonts w:ascii="Times New Roman" w:hAnsi="Times New Roman" w:eastAsia="宋体" w:cs="Times New Roman"/>
      <w:kern w:val="2"/>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ordWrap w:val="0"/>
      <w:ind w:firstLine="476"/>
    </w:pPr>
    <w:rPr>
      <w:rFonts w:cs="宋体" w:asciiTheme="minorEastAsia" w:hAnsiTheme="minorEastAsia" w:eastAsiaTheme="minorEastAsia"/>
      <w:spacing w:val="-1"/>
      <w:kern w:val="0"/>
    </w:rPr>
  </w:style>
  <w:style w:type="paragraph" w:customStyle="1" w:styleId="5">
    <w:name w:val="Default"/>
    <w:next w:val="1"/>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6">
    <w:name w:val="null3"/>
    <w:hidden/>
    <w:qFormat/>
    <w:uiPriority w:val="0"/>
    <w:rPr>
      <w:rFonts w:hint="eastAsia" w:asciiTheme="minorHAnsi" w:hAnsiTheme="minorHAnsi" w:eastAsiaTheme="minorEastAsia" w:cstheme="minorBidi"/>
      <w:lang w:val="en-US" w:eastAsia="zh-Hans"/>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4687</Words>
  <Characters>5421</Characters>
  <Lines>0</Lines>
  <Paragraphs>0</Paragraphs>
  <TotalTime>0</TotalTime>
  <ScaleCrop>false</ScaleCrop>
  <LinksUpToDate>false</LinksUpToDate>
  <CharactersWithSpaces>5466</CharactersWithSpaces>
  <Application>WPS Office_12.1.0.20754_F1E327BC-269C-435d-A152-05C5408002CA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2025-03-11T08:30:00Z</dcterms:created>
  <dc:creator>P</dc:creator>
  <cp:lastModifiedBy>刘颖</cp:lastModifiedBy>
  <dcterms:modified xsi:type="dcterms:W3CDTF">2025-03-28T04:57:23Z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2052-12.1.0.20754</vt:lpwstr>
  </property>
  <property fmtid="{D5CDD505-2E9C-101B-9397-08002B2CF9AE}" pid="3" name="ICV">
    <vt:lpwstr>F70EE51C9AEE472A86E2D02A1F252578_11</vt:lpwstr>
  </property>
  <property fmtid="{D5CDD505-2E9C-101B-9397-08002B2CF9AE}" pid="4" name="KSOTemplateDocerSaveRecord">
    <vt:lpwstr>eyJoZGlkIjoiY2IwZDY0MGJkYWYyNjgwNWIzOWU4ZjZiZjdmOWQ1ODIiLCJ1c2VySWQiOiIzMjU2NzM0MjkifQ==</vt:lpwstr>
  </property>
</Properties>
</file>